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3266"/>
        <w:gridCol w:w="5374"/>
      </w:tblGrid>
      <w:tr>
        <w:tblPrEx>
          <w:tblW w:w="5000" w:type="pct"/>
          <w:jc w:val="left"/>
          <w:tblCellMar>
            <w:top w:w="0" w:type="dxa"/>
            <w:left w:w="0" w:type="dxa"/>
            <w:bottom w:w="0" w:type="dxa"/>
            <w:right w:w="0" w:type="dxa"/>
          </w:tblCellMar>
        </w:tblPrEx>
        <w:trPr>
          <w:jc w:val="left"/>
        </w:trPr>
        <w:tc>
          <w:tcPr>
            <w:tcW w:w="1890"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BỘ TÀI CHÍNH</w:t>
            </w:r>
            <w:r>
              <w:rPr>
                <w:rtl w:val="0"/>
              </w:rPr>
              <w:br/>
            </w:r>
            <w:r>
              <w:rPr>
                <w:b/>
                <w:bCs/>
                <w:rtl w:val="0"/>
              </w:rPr>
              <w:t>CỤC THUẾ</w:t>
            </w:r>
            <w:r>
              <w:rPr>
                <w:b/>
                <w:bCs/>
                <w:rtl w:val="0"/>
              </w:rPr>
              <w:br/>
            </w:r>
            <w:r>
              <w:rPr>
                <w:b/>
                <w:bCs/>
                <w:rtl w:val="0"/>
              </w:rPr>
              <w:t>-------</w:t>
            </w:r>
          </w:p>
        </w:tc>
        <w:tc>
          <w:tcPr>
            <w:tcW w:w="3110"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Độc lập - Tự do - Hạnh phúc</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1890" w:type="pct"/>
            <w:shd w:val="clear" w:color="auto" w:fill="auto"/>
            <w:tcMar>
              <w:top w:w="0" w:type="dxa"/>
              <w:left w:w="108" w:type="dxa"/>
              <w:bottom w:w="0" w:type="dxa"/>
              <w:right w:w="108" w:type="dxa"/>
            </w:tcMar>
          </w:tcPr>
          <w:p>
            <w:pPr>
              <w:bidi w:val="0"/>
              <w:spacing w:before="120" w:beforeAutospacing="0" w:after="0" w:afterAutospacing="0"/>
              <w:rPr>
                <w:rtl w:val="0"/>
              </w:rPr>
            </w:pPr>
            <w:r>
              <w:rPr>
                <w:rtl w:val="0"/>
              </w:rPr>
              <w:t>Số: 4180/CT-CS</w:t>
            </w:r>
            <w:r>
              <w:rPr>
                <w:rtl w:val="0"/>
              </w:rPr>
              <w:br/>
            </w:r>
            <w:r>
              <w:rPr>
                <w:i/>
                <w:iCs/>
                <w:sz w:val="16"/>
                <w:rtl w:val="0"/>
              </w:rPr>
              <w:t>V/v thuế giá trị gia tăng và hóa đơn</w:t>
            </w:r>
          </w:p>
        </w:tc>
        <w:tc>
          <w:tcPr>
            <w:tcW w:w="3110" w:type="pct"/>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23 tháng 6 năm 2026.</w:t>
            </w:r>
          </w:p>
        </w:tc>
      </w:tr>
    </w:tbl>
    <w:p>
      <w:pPr>
        <w:bidi w:val="0"/>
        <w:spacing w:after="280" w:afterAutospacing="1"/>
      </w:pPr>
      <w:r>
        <w:rPr>
          <w:rtl w:val="0"/>
        </w:rPr>
        <w:t> </w:t>
      </w:r>
    </w:p>
    <w:p>
      <w:pPr>
        <w:bidi w:val="0"/>
        <w:spacing w:before="120" w:beforeAutospacing="0" w:after="280" w:afterAutospacing="1"/>
        <w:jc w:val="center"/>
        <w:rPr>
          <w:rtl w:val="0"/>
        </w:rPr>
      </w:pPr>
      <w:r>
        <w:rPr>
          <w:b/>
          <w:bCs/>
          <w:rtl w:val="0"/>
        </w:rPr>
        <w:t>Kính gửi:</w:t>
      </w:r>
      <w:r>
        <w:rPr>
          <w:rtl w:val="0"/>
        </w:rPr>
        <w:t xml:space="preserve"> Thuế tỉnh Vĩnh Long</w:t>
      </w:r>
    </w:p>
    <w:p>
      <w:pPr>
        <w:bidi w:val="0"/>
        <w:spacing w:before="120" w:beforeAutospacing="0" w:after="280" w:afterAutospacing="1"/>
        <w:rPr>
          <w:rtl w:val="0"/>
        </w:rPr>
      </w:pPr>
      <w:r>
        <w:rPr>
          <w:rtl w:val="0"/>
        </w:rPr>
        <w:t>Trả lời công văn số 1235/VLO-KTr2 ngày 29/4/2026 của Thuế tỉnh Vĩnh Long về thuế giá trị gia tăng và hóa đơn, Cục Thuế có ý kiến như sau:</w:t>
      </w:r>
    </w:p>
    <w:p>
      <w:pPr>
        <w:bidi w:val="0"/>
        <w:spacing w:before="120" w:beforeAutospacing="0" w:after="280" w:afterAutospacing="1"/>
        <w:rPr>
          <w:rtl w:val="0"/>
        </w:rPr>
      </w:pPr>
      <w:r>
        <w:rPr>
          <w:rtl w:val="0"/>
        </w:rPr>
        <w:t xml:space="preserve">Căn cứ </w:t>
      </w:r>
      <w:bookmarkStart w:id="0" w:name="dc_1"/>
      <w:r>
        <w:rPr>
          <w:rtl w:val="0"/>
        </w:rPr>
        <w:t>Điều 52 và Điều 53 Bộ luật Lao động số 45/2019/QH14</w:t>
      </w:r>
      <w:bookmarkEnd w:id="0"/>
      <w:r>
        <w:rPr>
          <w:rtl w:val="0"/>
        </w:rPr>
        <w:t xml:space="preserve"> ngày 20/11/2019 về cho thuê lại lao động và nguyên tắc hoạt động cho thuê lại lao động;</w:t>
      </w:r>
    </w:p>
    <w:p>
      <w:pPr>
        <w:bidi w:val="0"/>
        <w:spacing w:before="120" w:beforeAutospacing="0" w:after="280" w:afterAutospacing="1"/>
        <w:rPr>
          <w:rtl w:val="0"/>
        </w:rPr>
      </w:pPr>
      <w:r>
        <w:rPr>
          <w:rtl w:val="0"/>
        </w:rPr>
        <w:t xml:space="preserve">Căn cứ </w:t>
      </w:r>
      <w:bookmarkStart w:id="1" w:name="dc_2"/>
      <w:r>
        <w:rPr>
          <w:rtl w:val="0"/>
        </w:rPr>
        <w:t>Điều 12 và Điều 13 Nghị định số 145/2020/NĐ-CP</w:t>
      </w:r>
      <w:bookmarkEnd w:id="1"/>
      <w:r>
        <w:rPr>
          <w:rtl w:val="0"/>
        </w:rPr>
        <w:t xml:space="preserve"> ngày 14/12/2020 của Chính phủ quy định chi tiết và hướng dẫn thi hành một số điều của Bộ luật Lao động về điều kiện lao động và quan hệ lao động, quy định về doanh nghiệp cho thuê lại lao động và bên thuê lại lao động;</w:t>
      </w:r>
    </w:p>
    <w:p>
      <w:pPr>
        <w:bidi w:val="0"/>
        <w:spacing w:before="120" w:beforeAutospacing="0" w:after="280" w:afterAutospacing="1"/>
        <w:rPr>
          <w:rtl w:val="0"/>
        </w:rPr>
      </w:pPr>
      <w:r>
        <w:rPr>
          <w:rtl w:val="0"/>
        </w:rPr>
        <w:t xml:space="preserve">Căn cứ </w:t>
      </w:r>
      <w:bookmarkStart w:id="2" w:name="dc_3"/>
      <w:r>
        <w:rPr>
          <w:rtl w:val="0"/>
        </w:rPr>
        <w:t>Điều 5, Điều 11, điểm b khoản 5 Điều 12 và Điều 15 Thông tư số 219/2013/TT-BTC</w:t>
      </w:r>
      <w:bookmarkEnd w:id="2"/>
      <w:r>
        <w:rPr>
          <w:rtl w:val="0"/>
        </w:rPr>
        <w:t xml:space="preserve"> ngày 31/12/2013 của Bộ Tài chính (đã được sửa đổi, bổ sung theo Thông tư số 119/2014/TT-BTC ngày 25/8/2014, Thông tư số 151/2014/TT-BTC ngày 10/10/2014, Thông tư số 26/2015/TT-BTC ngày 27/02/2015 của Bộ Tài chính) hướng dẫn về các trường hợp không phải kê khai, tính nộp thuế GTGT, thuế suất 10%, phương pháp khấu trừ thuế và điều kiện khấu trừ thuế giá trị gia tăng đầu vào;</w:t>
      </w:r>
    </w:p>
    <w:p>
      <w:pPr>
        <w:bidi w:val="0"/>
        <w:spacing w:before="120" w:beforeAutospacing="0" w:after="280" w:afterAutospacing="1"/>
        <w:rPr>
          <w:rtl w:val="0"/>
        </w:rPr>
      </w:pPr>
      <w:r>
        <w:rPr>
          <w:rtl w:val="0"/>
        </w:rPr>
        <w:t>Ngày 24/3/2026, Cục Thuế có công văn số 1706/CT-CS trả lời Thuế tỉnh Cà Mau và Thuế tỉnh Cần Thơ về thuế giá trị gia tăng và hóa đơn (bản photocopy đính kèm).</w:t>
      </w:r>
    </w:p>
    <w:p>
      <w:pPr>
        <w:bidi w:val="0"/>
        <w:spacing w:before="120" w:beforeAutospacing="0" w:after="280" w:afterAutospacing="1"/>
        <w:rPr>
          <w:rtl w:val="0"/>
        </w:rPr>
      </w:pPr>
      <w:r>
        <w:rPr>
          <w:rtl w:val="0"/>
        </w:rPr>
        <w:t>Đề nghị Thuế tỉnh Vĩnh Long căn cứ quy định pháp luật về thuế giá trị gia tăng, pháp luật về hóa đơn, pháp luật liên quan, tham khảo hướng dẫn của Cục Thuế tại công văn số 1706/CT-CS nêu trên và trên cơ sở hồ sơ thực tế để xử lý theo quy định và theo thẩm quyền.</w:t>
      </w:r>
    </w:p>
    <w:p>
      <w:pPr>
        <w:bidi w:val="0"/>
        <w:spacing w:before="120" w:beforeAutospacing="0" w:after="280" w:afterAutospacing="1"/>
        <w:rPr>
          <w:rtl w:val="0"/>
        </w:rPr>
      </w:pPr>
      <w:r>
        <w:rPr>
          <w:rtl w:val="0"/>
        </w:rPr>
        <w:t>Cục Thuế có ý kiến để Thuế tỉnh Vĩnh Long được biết./.</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2500" w:type="pct"/>
            <w:shd w:val="clear" w:color="auto" w:fill="auto"/>
            <w:tcMar>
              <w:top w:w="0" w:type="dxa"/>
              <w:left w:w="108" w:type="dxa"/>
              <w:bottom w:w="0" w:type="dxa"/>
              <w:right w:w="108" w:type="dxa"/>
            </w:tcMar>
          </w:tcPr>
          <w:p>
            <w:pPr>
              <w:bidi w:val="0"/>
              <w:spacing w:before="120" w:beforeAutospacing="0" w:after="0" w:afterAutospacing="0"/>
              <w:rPr>
                <w:rtl w:val="0"/>
              </w:rPr>
            </w:pPr>
            <w:r>
              <w:rPr>
                <w:b/>
                <w:bCs/>
                <w:i/>
                <w:iCs/>
                <w:rtl w:val="0"/>
              </w:rPr>
              <w:br/>
            </w:r>
            <w:r>
              <w:rPr>
                <w:b/>
                <w:bCs/>
                <w:i/>
                <w:iCs/>
                <w:rtl w:val="0"/>
              </w:rPr>
              <w:t>Nơi nhận:</w:t>
            </w:r>
            <w:r>
              <w:rPr>
                <w:b/>
                <w:bCs/>
                <w:i/>
                <w:iCs/>
                <w:rtl w:val="0"/>
              </w:rPr>
              <w:br/>
            </w:r>
            <w:r>
              <w:rPr>
                <w:sz w:val="16"/>
                <w:rtl w:val="0"/>
              </w:rPr>
              <w:t>- Như trên;</w:t>
            </w:r>
            <w:r>
              <w:rPr>
                <w:sz w:val="16"/>
                <w:rtl w:val="0"/>
              </w:rPr>
              <w:br/>
            </w:r>
            <w:r>
              <w:rPr>
                <w:sz w:val="16"/>
                <w:rtl w:val="0"/>
              </w:rPr>
              <w:t>- Phó CTr Đặng Ngọc Minh (để b/c);</w:t>
            </w:r>
            <w:r>
              <w:rPr>
                <w:sz w:val="16"/>
                <w:rtl w:val="0"/>
              </w:rPr>
              <w:br/>
            </w:r>
            <w:r>
              <w:rPr>
                <w:sz w:val="16"/>
                <w:rtl w:val="0"/>
              </w:rPr>
              <w:t>- Ban PC, KTr;</w:t>
            </w:r>
            <w:r>
              <w:rPr>
                <w:sz w:val="16"/>
                <w:rtl w:val="0"/>
              </w:rPr>
              <w:br/>
            </w:r>
            <w:r>
              <w:rPr>
                <w:sz w:val="16"/>
                <w:rtl w:val="0"/>
              </w:rPr>
              <w:t>- Website CT;</w:t>
            </w:r>
            <w:r>
              <w:rPr>
                <w:sz w:val="16"/>
                <w:rtl w:val="0"/>
              </w:rPr>
              <w:br/>
            </w:r>
            <w:r>
              <w:rPr>
                <w:sz w:val="16"/>
                <w:rtl w:val="0"/>
              </w:rPr>
              <w:t>- Lưu: VT, CS.</w:t>
            </w:r>
          </w:p>
        </w:tc>
        <w:tc>
          <w:tcPr>
            <w:tcW w:w="2500"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TL. CỤC TRƯỞNG</w:t>
            </w:r>
            <w:r>
              <w:rPr>
                <w:b/>
                <w:bCs/>
                <w:rtl w:val="0"/>
              </w:rPr>
              <w:br/>
            </w:r>
            <w:r>
              <w:rPr>
                <w:b/>
                <w:bCs/>
                <w:rtl w:val="0"/>
              </w:rPr>
              <w:t>KT. TRƯỞNG BAN CHÍNH SÁCH, THUẾ QUỐC TẾ</w:t>
            </w:r>
            <w:r>
              <w:rPr>
                <w:b/>
                <w:bCs/>
                <w:rtl w:val="0"/>
              </w:rPr>
              <w:br/>
            </w:r>
            <w:r>
              <w:rPr>
                <w:b/>
                <w:bCs/>
                <w:rtl w:val="0"/>
              </w:rPr>
              <w:t>PHÓ TRƯỞNG BAN</w:t>
            </w:r>
            <w:r>
              <w:rPr>
                <w:b/>
                <w:bCs/>
                <w:rtl w:val="0"/>
              </w:rPr>
              <w:br/>
            </w:r>
            <w:r>
              <w:rPr>
                <w:b/>
                <w:bCs/>
                <w:rtl w:val="0"/>
              </w:rPr>
              <w:br/>
            </w:r>
            <w:r>
              <w:rPr>
                <w:b/>
                <w:bCs/>
                <w:rtl w:val="0"/>
              </w:rPr>
              <w:br/>
            </w:r>
            <w:r>
              <w:rPr>
                <w:b/>
                <w:bCs/>
                <w:rtl w:val="0"/>
              </w:rPr>
              <w:br/>
            </w:r>
            <w:r>
              <w:rPr>
                <w:b/>
                <w:bCs/>
                <w:rtl w:val="0"/>
              </w:rPr>
              <w:br/>
            </w:r>
            <w:r>
              <w:rPr>
                <w:b/>
                <w:bCs/>
                <w:rtl w:val="0"/>
              </w:rPr>
              <w:t>Phạm Thị Minh Hiền</w:t>
            </w:r>
          </w:p>
        </w:tc>
      </w:tr>
    </w:tbl>
    <w:p>
      <w:pPr>
        <w:bidi w:val="0"/>
        <w:spacing w:before="120" w:beforeAutospacing="0" w:after="280" w:afterAutospacing="1"/>
        <w:rPr>
          <w:rtl w:val="0"/>
        </w:rPr>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