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sz w:val="20"/>
                <w:rtl w:val="0"/>
                <w:lang w:val="vi-VN" w:eastAsia="vi-VN"/>
              </w:rPr>
              <w:t xml:space="preserve">BỘ </w:t>
            </w:r>
            <w:r>
              <w:rPr>
                <w:sz w:val="20"/>
                <w:rtl w:val="0"/>
              </w:rPr>
              <w:t>TÀI CHÍNH</w:t>
            </w:r>
            <w:r>
              <w:rPr>
                <w:sz w:val="20"/>
                <w:rtl w:val="0"/>
              </w:rPr>
              <w:br/>
            </w:r>
            <w:r>
              <w:rPr>
                <w:b/>
                <w:bCs/>
                <w:sz w:val="20"/>
                <w:rtl w:val="0"/>
              </w:rPr>
              <w:t>CỤC THUẾ</w:t>
            </w:r>
            <w:r>
              <w:rPr>
                <w:b/>
                <w:bCs/>
                <w:sz w:val="20"/>
                <w:rtl w:val="0"/>
                <w:lang w:val="vi-VN" w:eastAsia="vi-VN"/>
              </w:rPr>
              <w:br/>
            </w:r>
            <w:r>
              <w:rPr>
                <w:b/>
                <w:bCs/>
                <w:sz w:val="20"/>
                <w:rtl w:val="0"/>
                <w:lang w:val="vi-VN" w:eastAsia="vi-VN"/>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sz w:val="20"/>
                <w:rtl w:val="0"/>
                <w:lang w:val="vi-VN" w:eastAsia="vi-VN"/>
              </w:rPr>
              <w:t>CỘNG HÒA XÃ HỘI CHỦ NGHĨA VIỆT NAM</w:t>
            </w:r>
            <w:r>
              <w:rPr>
                <w:b/>
                <w:bCs/>
                <w:sz w:val="20"/>
                <w:rtl w:val="0"/>
                <w:lang w:val="vi-VN" w:eastAsia="vi-VN"/>
              </w:rPr>
              <w:br/>
            </w:r>
            <w:r>
              <w:rPr>
                <w:b/>
                <w:bCs/>
                <w:sz w:val="20"/>
                <w:rtl w:val="0"/>
                <w:lang w:val="vi-VN" w:eastAsia="vi-VN"/>
              </w:rPr>
              <w:t xml:space="preserve">Độc lập - Tự do - Hạnh phúc </w:t>
            </w:r>
            <w:r>
              <w:rPr>
                <w:b/>
                <w:bCs/>
                <w:sz w:val="20"/>
                <w:rtl w:val="0"/>
                <w:lang w:val="vi-VN" w:eastAsia="vi-VN"/>
              </w:rPr>
              <w:br/>
            </w:r>
            <w:r>
              <w:rPr>
                <w:b/>
                <w:bCs/>
                <w:sz w:val="20"/>
                <w:rtl w:val="0"/>
                <w:lang w:val="vi-VN" w:eastAsia="vi-VN"/>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sz w:val="20"/>
                <w:rtl w:val="0"/>
                <w:lang w:val="vi-VN" w:eastAsia="vi-VN"/>
              </w:rPr>
              <w:t>Số: 3</w:t>
            </w:r>
            <w:r>
              <w:rPr>
                <w:sz w:val="20"/>
                <w:rtl w:val="0"/>
              </w:rPr>
              <w:t>514</w:t>
            </w:r>
            <w:r>
              <w:rPr>
                <w:sz w:val="20"/>
                <w:rtl w:val="0"/>
                <w:lang w:val="vi-VN" w:eastAsia="vi-VN"/>
              </w:rPr>
              <w:t>/CT-CS</w:t>
            </w:r>
            <w:r>
              <w:rPr>
                <w:sz w:val="20"/>
                <w:rtl w:val="0"/>
                <w:lang w:val="vi-VN" w:eastAsia="vi-VN"/>
              </w:rPr>
              <w:br/>
            </w:r>
            <w:r>
              <w:rPr>
                <w:i/>
                <w:iCs/>
                <w:sz w:val="16"/>
                <w:rtl w:val="0"/>
                <w:lang w:val="vi-VN" w:eastAsia="vi-VN"/>
              </w:rPr>
              <w:t>V/v hóa đơn, chứng từ.</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sz w:val="20"/>
                <w:rtl w:val="0"/>
                <w:lang w:val="vi-VN" w:eastAsia="vi-VN"/>
              </w:rPr>
              <w:t>Hà Nội, ngày 2</w:t>
            </w:r>
            <w:r>
              <w:rPr>
                <w:i/>
                <w:iCs/>
                <w:sz w:val="20"/>
                <w:rtl w:val="0"/>
              </w:rPr>
              <w:t>9</w:t>
            </w:r>
            <w:r>
              <w:rPr>
                <w:i/>
                <w:iCs/>
                <w:sz w:val="20"/>
                <w:rtl w:val="0"/>
                <w:lang w:val="vi-VN" w:eastAsia="vi-VN"/>
              </w:rPr>
              <w:t xml:space="preserve"> tháng 5 năm 2026</w:t>
            </w:r>
            <w:r>
              <w:rPr>
                <w:i/>
                <w:iCs/>
                <w:sz w:val="20"/>
                <w:rtl w:val="0"/>
              </w:rPr>
              <w:t>.</w:t>
            </w:r>
          </w:p>
        </w:tc>
      </w:tr>
    </w:tbl>
    <w:p>
      <w:pPr>
        <w:bidi w:val="0"/>
        <w:spacing w:before="120" w:beforeAutospacing="0" w:after="280" w:afterAutospacing="1"/>
      </w:pPr>
      <w:r>
        <w:rPr>
          <w:rtl w:val="0"/>
        </w:rPr>
        <w:t> </w:t>
      </w:r>
    </w:p>
    <w:p>
      <w:pPr>
        <w:bidi w:val="0"/>
        <w:spacing w:before="120" w:beforeAutospacing="0" w:after="0" w:afterAutospacing="0"/>
        <w:ind w:left="0" w:right="0" w:firstLine="0"/>
        <w:jc w:val="center"/>
      </w:pPr>
      <w:r>
        <w:rPr>
          <w:b/>
          <w:bCs/>
          <w:sz w:val="20"/>
          <w:rtl w:val="0"/>
          <w:lang w:val="vi-VN" w:eastAsia="vi-VN"/>
        </w:rPr>
        <w:t>Kính gửi:</w:t>
      </w:r>
      <w:r>
        <w:rPr>
          <w:sz w:val="20"/>
          <w:rtl w:val="0"/>
          <w:lang w:val="vi-VN" w:eastAsia="vi-VN"/>
        </w:rPr>
        <w:t xml:space="preserve"> Công ty cổ phần kim khí và gia dụng Tân Á Đại Thành. </w:t>
      </w:r>
    </w:p>
    <w:p>
      <w:pPr>
        <w:bidi w:val="0"/>
        <w:spacing w:before="120" w:beforeAutospacing="0" w:after="0" w:afterAutospacing="0"/>
        <w:ind w:left="0" w:right="0" w:firstLine="0"/>
        <w:jc w:val="center"/>
      </w:pPr>
      <w:r>
        <w:rPr>
          <w:i/>
          <w:iCs/>
          <w:sz w:val="20"/>
          <w:rtl w:val="0"/>
          <w:lang w:val="vi-VN" w:eastAsia="vi-VN"/>
        </w:rPr>
        <w:t>(Khu công nghiệp Thanh Liêm, P. Châu Sơn, tỉnh Ninh Bình)</w:t>
      </w:r>
    </w:p>
    <w:p>
      <w:pPr>
        <w:bidi w:val="0"/>
        <w:spacing w:before="120" w:beforeAutospacing="0" w:after="0" w:afterAutospacing="0"/>
        <w:ind w:left="0" w:right="0" w:firstLine="0"/>
      </w:pPr>
      <w:r>
        <w:rPr>
          <w:sz w:val="20"/>
          <w:rtl w:val="0"/>
          <w:lang w:val="vi-VN" w:eastAsia="vi-VN"/>
        </w:rPr>
        <w:t xml:space="preserve">Trả lời văn bản số 02A/2026/CV-TAKK ngày 02/4/2026 của Công ty cổ phần kim khí và gia dụng Tân Á Đại Thành về hóa đơn, chứng từ, Cục Thuế có ý kiến như sau: </w:t>
      </w:r>
    </w:p>
    <w:p>
      <w:pPr>
        <w:bidi w:val="0"/>
        <w:spacing w:before="120" w:beforeAutospacing="0" w:after="0" w:afterAutospacing="0"/>
        <w:ind w:left="0" w:right="0" w:firstLine="0"/>
      </w:pPr>
      <w:r>
        <w:rPr>
          <w:sz w:val="20"/>
          <w:rtl w:val="0"/>
          <w:lang w:val="vi-VN" w:eastAsia="vi-VN"/>
        </w:rPr>
        <w:t xml:space="preserve">Căn cứ quy định tại khoản 1 Điều 4 Nghị định số 123/2020/NĐ-CP ngày 19/10/2020 của Chính phủ (đã được sửa đổi, bổ sung tại điểm a khoản 3 Điều 1 Nghị định số 70/2025/NĐ-CP ngày 20/3/2025 của Chính phủ) về nguyên tắc lập, quản lý, sử dụng hóa đơn, chứng từ; </w:t>
      </w:r>
    </w:p>
    <w:p>
      <w:pPr>
        <w:bidi w:val="0"/>
        <w:spacing w:before="120" w:beforeAutospacing="0" w:after="0" w:afterAutospacing="0"/>
        <w:ind w:left="0" w:right="0" w:firstLine="0"/>
      </w:pPr>
      <w:r>
        <w:rPr>
          <w:sz w:val="20"/>
          <w:rtl w:val="0"/>
          <w:lang w:val="vi-VN" w:eastAsia="vi-VN"/>
        </w:rPr>
        <w:t xml:space="preserve">Căn cứ quy định tại khoản 6 Điều 10 Nghị định số 123/2020/NĐ-CP nêu trên (đã được sửa đổi, bổ sung tại khoản 7 Điều 1 Nghị định số 70/2025/NĐ-CP) về nội dung của hóa đơn; </w:t>
      </w:r>
    </w:p>
    <w:p>
      <w:pPr>
        <w:bidi w:val="0"/>
        <w:spacing w:before="120" w:beforeAutospacing="0" w:after="0" w:afterAutospacing="0"/>
        <w:ind w:left="0" w:right="0" w:firstLine="0"/>
      </w:pPr>
      <w:r>
        <w:rPr>
          <w:sz w:val="20"/>
          <w:rtl w:val="0"/>
          <w:lang w:val="vi-VN" w:eastAsia="vi-VN"/>
        </w:rPr>
        <w:t>Căn cứ quy định tại Điều 19 Nghị định số 123/2020/NĐ-CP (đã được sửa đổi, bổ sung tại khoản 13 Điều 1 Nghị định số 70/2025/NĐ-CP) về thay thế, điều chỉnh hóa đơn điện tử;</w:t>
      </w:r>
    </w:p>
    <w:p>
      <w:pPr>
        <w:bidi w:val="0"/>
        <w:spacing w:before="120" w:beforeAutospacing="0" w:after="0" w:afterAutospacing="0"/>
        <w:ind w:left="0" w:right="0" w:firstLine="0"/>
      </w:pPr>
      <w:r>
        <w:rPr>
          <w:sz w:val="20"/>
          <w:rtl w:val="0"/>
          <w:lang w:val="vi-VN" w:eastAsia="vi-VN"/>
        </w:rPr>
        <w:t xml:space="preserve">Căn cứ quy định tại Điều 14 Nghị định số 181/2025/NĐ-CP ngày 01/7/2025 của Chính phủ về nguyên tắc xác định giá tính thuế GTGT; </w:t>
      </w:r>
    </w:p>
    <w:p>
      <w:pPr>
        <w:bidi w:val="0"/>
        <w:spacing w:before="120" w:beforeAutospacing="0" w:after="0" w:afterAutospacing="0"/>
        <w:ind w:left="0" w:right="0" w:firstLine="0"/>
      </w:pPr>
      <w:r>
        <w:rPr>
          <w:sz w:val="20"/>
          <w:rtl w:val="0"/>
          <w:lang w:val="vi-VN" w:eastAsia="vi-VN"/>
        </w:rPr>
        <w:t>Căn cứ các quy định trên, trường hợp Công ty cổ phần kim khí và gia dụng Tân Á Đại Thành thực hiện chương trình chiết khấu thương mại cuối kỳ theo sản lượng hoặc doanh thu hàng hóa bán ra cho khách hàng thì số tiền chiết khấu của hàng hóa đã bán được tính điều chỉnh trên hóa đơn bán hàng hóa của lần mua cuối cùng hoặc kỳ tiếp sau đảm bảo số tiền chiết khấu không vượt quá giá trị hàng hóa ghi trên hóa đơn của lần mua cuối cùng hoặc kỳ tiếp sau hoặc được lập hóa đ</w:t>
      </w:r>
      <w:r>
        <w:rPr>
          <w:sz w:val="20"/>
          <w:rtl w:val="0"/>
        </w:rPr>
        <w:t>ơ</w:t>
      </w:r>
      <w:r>
        <w:rPr>
          <w:sz w:val="20"/>
          <w:rtl w:val="0"/>
          <w:lang w:val="vi-VN" w:eastAsia="vi-VN"/>
        </w:rPr>
        <w:t>n điều ch</w:t>
      </w:r>
      <w:r>
        <w:rPr>
          <w:sz w:val="20"/>
          <w:rtl w:val="0"/>
        </w:rPr>
        <w:t>ỉ</w:t>
      </w:r>
      <w:r>
        <w:rPr>
          <w:sz w:val="20"/>
          <w:rtl w:val="0"/>
          <w:lang w:val="vi-VN" w:eastAsia="vi-VN"/>
        </w:rPr>
        <w:t>nh kèm theo bảng kê các số hóa đơn cần điều chỉnh, số tiền, tiền thuế điều chỉnh. Bảng kê được lưu tại đơn vị và xuất trình khi cơ quan thuế hoặc cơ quan nhà nước có thẩm quyền yêu cầu. Căn cứ vào hóa đơn điều chỉnh, bên bán và bên mua kê khai điều chỉnh doanh thu mua, bán, thuế đầu ra, đầu vào tại kỳ lập hóa đơn điều chỉnh.</w:t>
      </w:r>
    </w:p>
    <w:p>
      <w:pPr>
        <w:bidi w:val="0"/>
        <w:spacing w:before="120" w:beforeAutospacing="0" w:after="0" w:afterAutospacing="0"/>
        <w:ind w:left="0" w:right="0" w:firstLine="0"/>
      </w:pPr>
      <w:r>
        <w:rPr>
          <w:sz w:val="20"/>
          <w:rtl w:val="0"/>
          <w:lang w:val="vi-VN" w:eastAsia="vi-VN"/>
        </w:rPr>
        <w:t>Cục Thuế có ý kiến để Công ty cổ phần kim khí và gia dụng Tân Á Đại Thành được biết, trường hợp có vướng mắc đề nghị Công ty liên hệ với cơ quan thuế quản lý trực tiếp để được hướng dẫn thực hiện theo quy định./.</w:t>
      </w:r>
    </w:p>
    <w:p>
      <w:pPr>
        <w:bidi w:val="0"/>
        <w:spacing w:before="120" w:beforeAutospacing="0" w:after="0" w:afterAutospacing="0"/>
        <w:ind w:left="0" w:right="0" w:firstLine="0"/>
      </w:pPr>
      <w:r>
        <w:rPr>
          <w:sz w:val="20"/>
          <w:rtl w:val="0"/>
        </w:rPr>
        <w:t> </w:t>
      </w:r>
    </w:p>
    <w:tbl>
      <w:tblPr>
        <w:tblW w:w="5000" w:type="pct"/>
        <w:jc w:val="left"/>
        <w:tblCellMar>
          <w:top w:w="0" w:type="dxa"/>
          <w:left w:w="0" w:type="dxa"/>
          <w:bottom w:w="0" w:type="dxa"/>
          <w:right w:w="0" w:type="dxa"/>
        </w:tblCellMar>
      </w:tblPr>
      <w:tblGrid>
        <w:gridCol w:w="3814"/>
        <w:gridCol w:w="4826"/>
      </w:tblGrid>
      <w:tr>
        <w:tblPrEx>
          <w:tblW w:w="5000" w:type="pct"/>
          <w:jc w:val="left"/>
          <w:tblCellMar>
            <w:top w:w="0" w:type="dxa"/>
            <w:left w:w="0" w:type="dxa"/>
            <w:bottom w:w="0" w:type="dxa"/>
            <w:right w:w="0" w:type="dxa"/>
          </w:tblCellMar>
        </w:tblPrEx>
        <w:trPr>
          <w:jc w:val="left"/>
        </w:trPr>
        <w:tc>
          <w:tcPr>
            <w:tcW w:w="2207" w:type="pct"/>
            <w:shd w:val="clear" w:color="auto" w:fill="auto"/>
            <w:tcMar>
              <w:top w:w="0" w:type="dxa"/>
              <w:left w:w="108" w:type="dxa"/>
              <w:bottom w:w="0" w:type="dxa"/>
              <w:right w:w="108" w:type="dxa"/>
            </w:tcMar>
          </w:tcPr>
          <w:p>
            <w:pPr>
              <w:bidi w:val="0"/>
              <w:spacing w:before="120" w:beforeAutospacing="0" w:after="280" w:afterAutospacing="1"/>
            </w:pPr>
            <w:r>
              <w:rPr>
                <w:sz w:val="20"/>
                <w:rtl w:val="0"/>
                <w:lang w:val="vi-VN" w:eastAsia="vi-VN"/>
              </w:rPr>
              <w:t> </w:t>
            </w:r>
          </w:p>
          <w:p>
            <w:pPr>
              <w:bidi w:val="0"/>
              <w:spacing w:before="120" w:beforeAutospacing="0" w:after="0" w:afterAutospacing="0"/>
              <w:rPr>
                <w:rtl w:val="0"/>
              </w:rPr>
            </w:pPr>
            <w:r>
              <w:rPr>
                <w:b/>
                <w:bCs/>
                <w:i/>
                <w:iCs/>
                <w:sz w:val="20"/>
                <w:rtl w:val="0"/>
                <w:lang w:val="vi-VN" w:eastAsia="vi-VN"/>
              </w:rPr>
              <w:t>Nơi nhận:</w:t>
            </w:r>
            <w:r>
              <w:rPr>
                <w:b/>
                <w:bCs/>
                <w:i/>
                <w:iCs/>
                <w:sz w:val="20"/>
                <w:rtl w:val="0"/>
                <w:lang w:val="vi-VN" w:eastAsia="vi-VN"/>
              </w:rPr>
              <w:br/>
            </w:r>
            <w:r>
              <w:rPr>
                <w:sz w:val="16"/>
                <w:rtl w:val="0"/>
                <w:lang w:val="vi-VN" w:eastAsia="vi-VN"/>
              </w:rPr>
              <w:t xml:space="preserve">- Như trên; </w:t>
            </w:r>
            <w:r>
              <w:rPr>
                <w:sz w:val="16"/>
                <w:rtl w:val="0"/>
                <w:lang w:val="vi-VN" w:eastAsia="vi-VN"/>
              </w:rPr>
              <w:br/>
            </w:r>
            <w:r>
              <w:rPr>
                <w:sz w:val="16"/>
                <w:rtl w:val="0"/>
                <w:lang w:val="vi-VN" w:eastAsia="vi-VN"/>
              </w:rPr>
              <w:t xml:space="preserve">- Phó CTr Đặng Ngọc Minh (để b/c); </w:t>
            </w:r>
            <w:r>
              <w:rPr>
                <w:sz w:val="16"/>
                <w:rtl w:val="0"/>
                <w:lang w:val="vi-VN" w:eastAsia="vi-VN"/>
              </w:rPr>
              <w:br/>
            </w:r>
            <w:r>
              <w:rPr>
                <w:sz w:val="16"/>
                <w:rtl w:val="0"/>
                <w:lang w:val="vi-VN" w:eastAsia="vi-VN"/>
              </w:rPr>
              <w:t xml:space="preserve">- Thuế tỉnh Ninh Bình; </w:t>
            </w:r>
            <w:r>
              <w:rPr>
                <w:sz w:val="16"/>
                <w:rtl w:val="0"/>
                <w:lang w:val="vi-VN" w:eastAsia="vi-VN"/>
              </w:rPr>
              <w:br/>
            </w:r>
            <w:r>
              <w:rPr>
                <w:sz w:val="16"/>
                <w:rtl w:val="0"/>
                <w:lang w:val="vi-VN" w:eastAsia="vi-VN"/>
              </w:rPr>
              <w:t xml:space="preserve">- Ban PC; </w:t>
            </w:r>
            <w:r>
              <w:rPr>
                <w:sz w:val="16"/>
                <w:rtl w:val="0"/>
                <w:lang w:val="vi-VN" w:eastAsia="vi-VN"/>
              </w:rPr>
              <w:br/>
            </w:r>
            <w:r>
              <w:rPr>
                <w:sz w:val="16"/>
                <w:rtl w:val="0"/>
                <w:lang w:val="vi-VN" w:eastAsia="vi-VN"/>
              </w:rPr>
              <w:t xml:space="preserve">- Website СТ; </w:t>
            </w:r>
            <w:r>
              <w:rPr>
                <w:sz w:val="16"/>
                <w:rtl w:val="0"/>
                <w:lang w:val="vi-VN" w:eastAsia="vi-VN"/>
              </w:rPr>
              <w:br/>
            </w:r>
            <w:r>
              <w:rPr>
                <w:sz w:val="16"/>
                <w:rtl w:val="0"/>
                <w:lang w:val="vi-VN" w:eastAsia="vi-VN"/>
              </w:rPr>
              <w:t>- Lưu: VT, CS (4b).</w:t>
            </w:r>
          </w:p>
        </w:tc>
        <w:tc>
          <w:tcPr>
            <w:tcW w:w="2793" w:type="pct"/>
            <w:shd w:val="clear" w:color="auto" w:fill="auto"/>
            <w:tcMar>
              <w:top w:w="0" w:type="dxa"/>
              <w:left w:w="108" w:type="dxa"/>
              <w:bottom w:w="0" w:type="dxa"/>
              <w:right w:w="108" w:type="dxa"/>
            </w:tcMar>
          </w:tcPr>
          <w:p>
            <w:pPr>
              <w:bidi w:val="0"/>
              <w:spacing w:before="120" w:beforeAutospacing="0" w:after="0" w:afterAutospacing="0"/>
              <w:jc w:val="center"/>
            </w:pPr>
            <w:r>
              <w:rPr>
                <w:b/>
                <w:bCs/>
                <w:sz w:val="20"/>
                <w:rtl w:val="0"/>
                <w:lang w:val="vi-VN" w:eastAsia="vi-VN"/>
              </w:rPr>
              <w:t>TL. CỤC TRƯỞNG</w:t>
            </w:r>
            <w:r>
              <w:rPr>
                <w:b/>
                <w:bCs/>
                <w:sz w:val="20"/>
                <w:rtl w:val="0"/>
                <w:lang w:val="vi-VN" w:eastAsia="vi-VN"/>
              </w:rPr>
              <w:br/>
            </w:r>
            <w:r>
              <w:rPr>
                <w:b/>
                <w:bCs/>
                <w:sz w:val="20"/>
                <w:rtl w:val="0"/>
                <w:lang w:val="vi-VN" w:eastAsia="vi-VN"/>
              </w:rPr>
              <w:t xml:space="preserve">KT. TRƯỞNG BAN </w:t>
            </w:r>
            <w:bookmarkStart w:id="0" w:name="_GoBack"/>
            <w:r>
              <w:rPr>
                <w:b/>
                <w:bCs/>
                <w:sz w:val="20"/>
                <w:rtl w:val="0"/>
                <w:lang w:val="vi-VN" w:eastAsia="vi-VN"/>
              </w:rPr>
              <w:t>CHÍNH</w:t>
            </w:r>
            <w:bookmarkEnd w:id="0"/>
            <w:r>
              <w:rPr>
                <w:b/>
                <w:bCs/>
                <w:sz w:val="20"/>
                <w:rtl w:val="0"/>
                <w:lang w:val="vi-VN" w:eastAsia="vi-VN"/>
              </w:rPr>
              <w:t xml:space="preserve"> SÁCH, </w:t>
            </w:r>
            <w:r>
              <w:rPr>
                <w:b/>
                <w:bCs/>
                <w:sz w:val="20"/>
                <w:rtl w:val="0"/>
              </w:rPr>
              <w:br/>
            </w:r>
            <w:r>
              <w:rPr>
                <w:b/>
                <w:bCs/>
                <w:sz w:val="20"/>
                <w:rtl w:val="0"/>
                <w:lang w:val="vi-VN" w:eastAsia="vi-VN"/>
              </w:rPr>
              <w:t>THUẾ QUỐC TẾ</w:t>
            </w:r>
            <w:r>
              <w:rPr>
                <w:b/>
                <w:bCs/>
                <w:sz w:val="20"/>
                <w:rtl w:val="0"/>
                <w:lang w:val="vi-VN" w:eastAsia="vi-VN"/>
              </w:rPr>
              <w:br/>
            </w:r>
            <w:r>
              <w:rPr>
                <w:b/>
                <w:bCs/>
                <w:sz w:val="20"/>
                <w:rtl w:val="0"/>
                <w:lang w:val="vi-VN" w:eastAsia="vi-VN"/>
              </w:rPr>
              <w:t>PHÓ TRƯỞNG BAN</w:t>
            </w:r>
            <w:r>
              <w:rPr>
                <w:b/>
                <w:bCs/>
                <w:sz w:val="20"/>
                <w:rtl w:val="0"/>
                <w:lang w:val="vi-VN" w:eastAsia="vi-VN"/>
              </w:rPr>
              <w:br/>
            </w:r>
            <w:r>
              <w:rPr>
                <w:b/>
                <w:bCs/>
                <w:sz w:val="20"/>
                <w:rtl w:val="0"/>
                <w:lang w:val="vi-VN" w:eastAsia="vi-VN"/>
              </w:rPr>
              <w:br/>
            </w:r>
            <w:r>
              <w:rPr>
                <w:b/>
                <w:bCs/>
                <w:sz w:val="20"/>
                <w:rtl w:val="0"/>
                <w:lang w:val="vi-VN" w:eastAsia="vi-VN"/>
              </w:rPr>
              <w:br/>
            </w:r>
            <w:r>
              <w:rPr>
                <w:b/>
                <w:bCs/>
                <w:sz w:val="20"/>
                <w:rtl w:val="0"/>
                <w:lang w:val="vi-VN" w:eastAsia="vi-VN"/>
              </w:rPr>
              <w:br/>
            </w:r>
            <w:r>
              <w:rPr>
                <w:b/>
                <w:bCs/>
                <w:sz w:val="20"/>
                <w:rtl w:val="0"/>
                <w:lang w:val="vi-VN" w:eastAsia="vi-VN"/>
              </w:rPr>
              <w:br/>
            </w:r>
            <w:r>
              <w:rPr>
                <w:b/>
                <w:bCs/>
                <w:sz w:val="20"/>
                <w:rtl w:val="0"/>
                <w:lang w:val="vi-VN" w:eastAsia="vi-VN"/>
              </w:rPr>
              <w:t>Phạm Thị Minh Hiền</w:t>
            </w:r>
          </w:p>
        </w:tc>
      </w:tr>
    </w:tbl>
    <w:p>
      <w:pPr>
        <w:bidi w:val="0"/>
        <w:spacing w:after="280" w:afterAutospacing="1"/>
      </w:pPr>
      <w:r>
        <w:rPr>
          <w:sz w:val="20"/>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