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266"/>
        <w:gridCol w:w="5374"/>
      </w:tblGrid>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CỤC THUẾ</w:t>
            </w:r>
            <w:r>
              <w:rPr>
                <w:rtl w:val="0"/>
              </w:rPr>
              <w:br/>
            </w:r>
            <w:r>
              <w:rPr>
                <w:b/>
                <w:bCs/>
                <w:rtl w:val="0"/>
              </w:rPr>
              <w:t>THUẾ TỈNH TÂY NINH</w:t>
            </w:r>
            <w:r>
              <w:rPr>
                <w:b/>
                <w:bCs/>
                <w:rtl w:val="0"/>
              </w:rPr>
              <w:br/>
            </w:r>
            <w:r>
              <w:rPr>
                <w:b/>
                <w:bCs/>
                <w:rtl w:val="0"/>
              </w:rPr>
              <w:t>-------</w:t>
            </w:r>
          </w:p>
        </w:tc>
        <w:tc>
          <w:tcPr>
            <w:tcW w:w="311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5209/TNI-QLDN2</w:t>
            </w:r>
            <w:r>
              <w:rPr>
                <w:rtl w:val="0"/>
              </w:rPr>
              <w:br/>
            </w:r>
            <w:r>
              <w:rPr>
                <w:i/>
                <w:iCs/>
                <w:sz w:val="16"/>
                <w:rtl w:val="0"/>
              </w:rPr>
              <w:t>V/v xuất hóa đơn thanh lý tài sản.</w:t>
            </w:r>
          </w:p>
        </w:tc>
        <w:tc>
          <w:tcPr>
            <w:tcW w:w="3110" w:type="pct"/>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Tây Ninh, ngày 28 tháng 5 năm 2026</w:t>
            </w:r>
          </w:p>
        </w:tc>
      </w:tr>
    </w:tbl>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2915"/>
        <w:gridCol w:w="5725"/>
      </w:tblGrid>
      <w:tr>
        <w:tblPrEx>
          <w:tblW w:w="5000" w:type="pct"/>
          <w:jc w:val="left"/>
          <w:tblCellMar>
            <w:top w:w="0" w:type="dxa"/>
            <w:left w:w="0" w:type="dxa"/>
            <w:bottom w:w="0" w:type="dxa"/>
            <w:right w:w="0" w:type="dxa"/>
          </w:tblCellMar>
        </w:tblPrEx>
        <w:trPr>
          <w:jc w:val="left"/>
        </w:trPr>
        <w:tc>
          <w:tcPr>
            <w:tcW w:w="1687" w:type="pct"/>
            <w:shd w:val="clear" w:color="auto" w:fill="auto"/>
            <w:tcMar>
              <w:top w:w="0" w:type="dxa"/>
              <w:left w:w="108" w:type="dxa"/>
              <w:bottom w:w="0" w:type="dxa"/>
              <w:right w:w="108" w:type="dxa"/>
            </w:tcMar>
          </w:tcPr>
          <w:p>
            <w:pPr>
              <w:bidi w:val="0"/>
              <w:spacing w:before="120" w:beforeAutospacing="0" w:after="0" w:afterAutospacing="0"/>
              <w:jc w:val="right"/>
            </w:pPr>
            <w:r>
              <w:rPr>
                <w:b/>
                <w:bCs/>
                <w:rtl w:val="0"/>
              </w:rPr>
              <w:t>Kính gửi:</w:t>
            </w:r>
          </w:p>
        </w:tc>
        <w:tc>
          <w:tcPr>
            <w:tcW w:w="3313" w:type="pct"/>
            <w:shd w:val="clear" w:color="auto" w:fill="auto"/>
            <w:tcMar>
              <w:top w:w="0" w:type="dxa"/>
              <w:left w:w="108" w:type="dxa"/>
              <w:bottom w:w="0" w:type="dxa"/>
              <w:right w:w="108" w:type="dxa"/>
            </w:tcMar>
          </w:tcPr>
          <w:p>
            <w:pPr>
              <w:bidi w:val="0"/>
              <w:spacing w:before="120" w:beforeAutospacing="0" w:after="0" w:afterAutospacing="0"/>
            </w:pPr>
            <w:r>
              <w:rPr>
                <w:rtl w:val="0"/>
              </w:rPr>
              <w:t>Công ty TNHH Thực phẩm Dinh dưỡng Miền Nam;</w:t>
            </w:r>
            <w:r>
              <w:rPr>
                <w:rtl w:val="0"/>
              </w:rPr>
              <w:br/>
            </w:r>
            <w:r>
              <w:rPr>
                <w:rtl w:val="0"/>
              </w:rPr>
              <w:t>Mã số thuế: 1100826514;</w:t>
            </w:r>
            <w:r>
              <w:rPr>
                <w:rtl w:val="0"/>
              </w:rPr>
              <w:br/>
            </w:r>
            <w:r>
              <w:rPr>
                <w:rtl w:val="0"/>
              </w:rPr>
              <w:t>Địa chỉ: Lô 3, đường số 5, khu công nghiệp Tân Đức,</w:t>
            </w:r>
            <w:r>
              <w:rPr>
                <w:rtl w:val="0"/>
              </w:rPr>
              <w:br/>
            </w:r>
            <w:r>
              <w:rPr>
                <w:rtl w:val="0"/>
              </w:rPr>
              <w:t>xã Đức Hòa, tỉnh Tây Ninh.</w:t>
            </w:r>
          </w:p>
        </w:tc>
      </w:tr>
    </w:tbl>
    <w:p>
      <w:pPr>
        <w:bidi w:val="0"/>
        <w:spacing w:before="120" w:beforeAutospacing="0" w:after="280" w:afterAutospacing="1"/>
      </w:pPr>
      <w:r>
        <w:rPr>
          <w:rtl w:val="0"/>
        </w:rPr>
        <w:t>Trả lời Công văn không số ngày 23/05/2026, của Công ty TNHH Thực phẩm Dinh dưỡng Miền Nam (sau đây gọi tắt là Công ty) về việc xuất hóa đơn thanh lý tài sản. Về vấn đề này, Thuế tỉnh Tây Ninh có ý kiến như sau:</w:t>
      </w:r>
    </w:p>
    <w:p>
      <w:pPr>
        <w:bidi w:val="0"/>
        <w:spacing w:before="120" w:beforeAutospacing="0" w:after="280" w:afterAutospacing="1"/>
      </w:pPr>
      <w:r>
        <w:rPr>
          <w:b/>
          <w:bCs/>
          <w:rtl w:val="0"/>
        </w:rPr>
        <w:t>-Về cấp hóa đơn điện tử có mã của cơ quan thuế theo từng lần phát sinh:</w:t>
      </w:r>
    </w:p>
    <w:p>
      <w:pPr>
        <w:bidi w:val="0"/>
        <w:spacing w:before="120" w:beforeAutospacing="0" w:after="280" w:afterAutospacing="1"/>
      </w:pPr>
      <w:r>
        <w:rPr>
          <w:rtl w:val="0"/>
        </w:rPr>
        <w:t>Căn cứ Nghị định số 123/2020/NĐ-CP ngày 19 tháng 10 năm 2020 của Chính phủ quy định về hóa đơn, chứng từ:</w:t>
      </w:r>
    </w:p>
    <w:p>
      <w:pPr>
        <w:bidi w:val="0"/>
        <w:spacing w:before="120" w:beforeAutospacing="0" w:after="280" w:afterAutospacing="1"/>
      </w:pPr>
      <w:r>
        <w:rPr>
          <w:rtl w:val="0"/>
        </w:rPr>
        <w:t>- Tại điểm a.2, khoản 2, Điều 13. Áp dụng hóa đơn điện tử khi bán hàng hóa, cung cấp dịch vụ.</w:t>
      </w:r>
    </w:p>
    <w:p>
      <w:pPr>
        <w:bidi w:val="0"/>
        <w:spacing w:before="120" w:beforeAutospacing="0" w:after="280" w:afterAutospacing="1"/>
      </w:pPr>
      <w:r>
        <w:rPr>
          <w:i/>
          <w:iCs/>
          <w:rtl w:val="0"/>
        </w:rPr>
        <w:t>“…</w:t>
      </w:r>
    </w:p>
    <w:p>
      <w:pPr>
        <w:bidi w:val="0"/>
        <w:spacing w:before="120" w:beforeAutospacing="0" w:after="280" w:afterAutospacing="1"/>
      </w:pPr>
      <w:r>
        <w:rPr>
          <w:i/>
          <w:iCs/>
          <w:rtl w:val="0"/>
        </w:rPr>
        <w:t>a.2) Cấp hóa đơn điện tử có mã của cơ quan thuế theo từng lần phát sinh là hóa đơn giá trị gia tăng trong các trường hợp:</w:t>
      </w:r>
    </w:p>
    <w:p>
      <w:pPr>
        <w:bidi w:val="0"/>
        <w:spacing w:before="120" w:beforeAutospacing="0" w:after="280" w:afterAutospacing="1"/>
      </w:pPr>
      <w:r>
        <w:rPr>
          <w:i/>
          <w:iCs/>
          <w:rtl w:val="0"/>
        </w:rPr>
        <w:t>- Doanh nghiệp, tổ chức kinh tế, tổ chức khác thuộc diện nộp thuế giá trị gia tăng theo phương pháp khấu trừ thuộc các trường hợp sau:</w:t>
      </w:r>
    </w:p>
    <w:p>
      <w:pPr>
        <w:bidi w:val="0"/>
        <w:spacing w:before="120" w:beforeAutospacing="0" w:after="280" w:afterAutospacing="1"/>
      </w:pPr>
      <w:r>
        <w:rPr>
          <w:i/>
          <w:iCs/>
          <w:rtl w:val="0"/>
        </w:rPr>
        <w:t>+ Ngừng hoạt động kinh doanh nhưng chưa hoàn thành thủ tục chấm dứt hiệu lực mã số thuế có phát sinh thanh lý tài sản cần có hóa đơn để giao cho người mua;</w:t>
      </w:r>
    </w:p>
    <w:p>
      <w:pPr>
        <w:bidi w:val="0"/>
        <w:spacing w:before="120" w:beforeAutospacing="0" w:after="280" w:afterAutospacing="1"/>
      </w:pPr>
      <w:r>
        <w:rPr>
          <w:i/>
          <w:iCs/>
          <w:rtl w:val="0"/>
        </w:rPr>
        <w:t>+ Tạm ngừng hoạt động kinh doanh cần có hóa đơn giao cho khách hàng để thực hiện các hợp đồng đã ký trước ngày cơ quan thuế thông báo tạm ngừng kinh doanh;</w:t>
      </w:r>
    </w:p>
    <w:p>
      <w:pPr>
        <w:bidi w:val="0"/>
        <w:spacing w:before="120" w:beforeAutospacing="0" w:after="280" w:afterAutospacing="1"/>
      </w:pPr>
      <w:r>
        <w:rPr>
          <w:i/>
          <w:iCs/>
          <w:rtl w:val="0"/>
        </w:rPr>
        <w:t>…</w:t>
      </w:r>
    </w:p>
    <w:p>
      <w:pPr>
        <w:bidi w:val="0"/>
        <w:spacing w:before="120" w:beforeAutospacing="0" w:after="280" w:afterAutospacing="1"/>
      </w:pPr>
      <w:r>
        <w:rPr>
          <w:rtl w:val="0"/>
        </w:rPr>
        <w:t>Căn cứ Nghị định số 70/2025/NĐ-CP ngày 20 tháng 03 năm 2025 của Chính phủ Sửa đổi, bổ sung một số điều của Nghị định số 123/2020/NĐ-CP ngày 19 tháng 10 năm 2020 của Chính phủ quy định về hóa đơn, chứng từ:</w:t>
      </w:r>
    </w:p>
    <w:p>
      <w:pPr>
        <w:bidi w:val="0"/>
        <w:spacing w:before="120" w:beforeAutospacing="0" w:after="280" w:afterAutospacing="1"/>
      </w:pPr>
      <w:r>
        <w:rPr>
          <w:rtl w:val="0"/>
        </w:rPr>
        <w:t>- Tại điểm a.2, khoản 10, Điều 1. Áp dụng hóa đơn điện tử khi bán hàng hóa, cung cấp dịch vụ.</w:t>
      </w:r>
    </w:p>
    <w:p>
      <w:pPr>
        <w:bidi w:val="0"/>
        <w:spacing w:before="120" w:beforeAutospacing="0" w:after="280" w:afterAutospacing="1"/>
      </w:pPr>
      <w:r>
        <w:rPr>
          <w:i/>
          <w:iCs/>
          <w:rtl w:val="0"/>
        </w:rPr>
        <w:t>a.2) Cấp hóa đơn điện tử có mã của cơ quan thuế theo từng lần phát sinh là hóa đơn giá trị gia tăng trong các trường hợp:</w:t>
      </w:r>
    </w:p>
    <w:p>
      <w:pPr>
        <w:bidi w:val="0"/>
        <w:spacing w:before="120" w:beforeAutospacing="0" w:after="280" w:afterAutospacing="1"/>
      </w:pPr>
      <w:r>
        <w:rPr>
          <w:i/>
          <w:iCs/>
          <w:rtl w:val="0"/>
        </w:rPr>
        <w:t>a.2.1) Doanh nghiệp, tổ chức kinh tế, tổ chức khác thuộc diện nộp thuế giá trị gia tăng theo phương pháp khấu trừ thuộc các trường hợp sau:</w:t>
      </w:r>
    </w:p>
    <w:p>
      <w:pPr>
        <w:bidi w:val="0"/>
        <w:spacing w:before="120" w:beforeAutospacing="0" w:after="280" w:afterAutospacing="1"/>
      </w:pPr>
      <w:r>
        <w:rPr>
          <w:i/>
          <w:iCs/>
          <w:rtl w:val="0"/>
        </w:rPr>
        <w:t>a.2.1.1) Ngừng hoạt động kinh doanh nhưng chưa hoàn thành thủ tục chấm dứt hiệu lực mã số thuế có phát sinh thanh lý tài sản, hàng hóa cần có hóa đơn để giao cho người mua;</w:t>
      </w:r>
    </w:p>
    <w:p>
      <w:pPr>
        <w:bidi w:val="0"/>
        <w:spacing w:before="120" w:beforeAutospacing="0" w:after="280" w:afterAutospacing="1"/>
      </w:pPr>
      <w:r>
        <w:rPr>
          <w:i/>
          <w:iCs/>
          <w:rtl w:val="0"/>
        </w:rPr>
        <w:t>a.2.1.2) Tạm ngừng hoạt động kinh doanh cần có hóa đơn giao cho khách hàng để thực hiện các hợp đồng đã ký trước ngày cơ quan nhà nước có thẩm quyền thông báo tạm ngừng kinh doanh;</w:t>
      </w:r>
    </w:p>
    <w:p>
      <w:pPr>
        <w:bidi w:val="0"/>
        <w:spacing w:before="120" w:beforeAutospacing="0" w:after="280" w:afterAutospacing="1"/>
      </w:pPr>
      <w:r>
        <w:rPr>
          <w:i/>
          <w:iCs/>
          <w:rtl w:val="0"/>
        </w:rPr>
        <w:t>…</w:t>
      </w:r>
    </w:p>
    <w:p>
      <w:pPr>
        <w:bidi w:val="0"/>
        <w:spacing w:before="120" w:beforeAutospacing="0" w:after="280" w:afterAutospacing="1"/>
      </w:pPr>
      <w:r>
        <w:rPr>
          <w:i/>
          <w:iCs/>
          <w:rtl w:val="0"/>
        </w:rPr>
        <w:t>b) Doanh nghiệp, tổ chức kinh tế, tổ chức khác, hộ kinh doanh, cá nhân kinh doanh thuộc trường hợp được cấp hóa đơn điện tử có mã của cơ quan thuế theo từng lần phát sinh gửi đơn đề nghị cấp hóa đơn điện tử có mã của cơ quan thuế theo Mẫu số 06/ĐN-PSĐT Phụ lục IA ban hành kèm theo Nghị định này đến cơ quan thuế và truy cập vào Cổng thông tin điện tử của Tổng cục Thuế để lập hóa đơn điện tử.</w:t>
      </w:r>
    </w:p>
    <w:p>
      <w:pPr>
        <w:bidi w:val="0"/>
        <w:spacing w:before="120" w:beforeAutospacing="0" w:after="280" w:afterAutospacing="1"/>
      </w:pPr>
      <w:r>
        <w:rPr>
          <w:i/>
          <w:iCs/>
          <w:rtl w:val="0"/>
        </w:rPr>
        <w:t>Doanh nghiệp, tổ chức kinh tế, tổ chức khác, hộ kinh doanh, cá nhân kinh doanh khai hồ sơ khai thuế theo quy định pháp luật về quản lý thuế.</w:t>
      </w:r>
    </w:p>
    <w:p>
      <w:pPr>
        <w:bidi w:val="0"/>
        <w:spacing w:before="120" w:beforeAutospacing="0" w:after="280" w:afterAutospacing="1"/>
      </w:pPr>
      <w:r>
        <w:rPr>
          <w:i/>
          <w:iCs/>
          <w:rtl w:val="0"/>
        </w:rPr>
        <w:t>Người nộp thuế thuộc trường hợp được cấp hóa đơn bán hàng theo từng lần phát sinh tại điểm a.1 khoản 2 Điều này thì phải nộp đầy đủ số thuế phát sinh trên hóa đơn đề nghị cấp theo quy định của pháp luật thuế giá trị gia tăng, thu nhập cá nhân, thu nhập doanh nghiệp hoặc số phát sinh phải nộp theo pháp luật quản lý thuế và các loại thuế, phí khác (nếu có).</w:t>
      </w:r>
    </w:p>
    <w:p>
      <w:pPr>
        <w:bidi w:val="0"/>
        <w:spacing w:before="120" w:beforeAutospacing="0" w:after="280" w:afterAutospacing="1"/>
      </w:pPr>
      <w:r>
        <w:rPr>
          <w:i/>
          <w:iCs/>
          <w:rtl w:val="0"/>
        </w:rPr>
        <w:t>Người nộp thuế thuộc trường hợp được cấp hóa đơn giá trị gia tăng theo từng lần phát sinh tại điểm a.2 khoản 2 Điều này thì phải nộp số thuế giá trị gia tăng trên hóa đơn giá trị gia tăng theo từng lần phát sinh hoặc số phát sinh phải nộp theo pháp luật quản lý thuế.</w:t>
      </w:r>
    </w:p>
    <w:p>
      <w:pPr>
        <w:bidi w:val="0"/>
        <w:spacing w:before="120" w:beforeAutospacing="0" w:after="280" w:afterAutospacing="1"/>
      </w:pPr>
      <w:r>
        <w:rPr>
          <w:i/>
          <w:iCs/>
          <w:rtl w:val="0"/>
        </w:rPr>
        <w:t>Sau khi doanh nghiệp, tổ chức kinh tế, tổ chức khác, hộ kinh doanh, cá nhân kinh doanh đã nộp đủ thuế hoặc số phát sinh phải nộp ngay trong ngày làm việc hoặc chậm nhất là ngày làm việc tiếp theo, cơ quan thuế cấp mã của cơ quan thuế trên hóa đơn điện tử.</w:t>
      </w:r>
    </w:p>
    <w:p>
      <w:pPr>
        <w:bidi w:val="0"/>
        <w:spacing w:before="120" w:beforeAutospacing="0" w:after="280" w:afterAutospacing="1"/>
      </w:pPr>
      <w:r>
        <w:rPr>
          <w:i/>
          <w:iCs/>
          <w:rtl w:val="0"/>
        </w:rPr>
        <w:t>Doanh nghiệp, tổ chức kinh tế, tổ chức khác, hộ kinh doanh, cá nhân kinh doanh tự chịu trách nhiệm về tính chính xác của các thông tin trên hóa đơn điện tử theo từng lần phát sinh được cơ quan thuế cấp mã. Trường hợp hóa đơn điện tử theo từng lần phát sinh cần phải lập hóa đơn điều chỉnh hoặc thay thế, doanh nghiệp, tổ chức kinh tế, tổ chức khác, hộ kinh doanh, cá nhân kinh doanh gửi đơn đề nghị cấp hóa đơn điện tử có mã của cơ quan thuế theo Mẫu số 06/ĐN-PSĐT Phụ lục IA ban hành kèm theo Nghị định này đến cơ quan thuế để được cấp hóa đơn điện tử điều chỉnh hoặc thay thế cho hóa đơn đã lập. Việc lập hóa đơn điều chỉnh hoặc thay thế thực hiện theo quy định tại Điều 19 Nghị định này và việc nộp thuế, các khoản thu khác thuộc ngân sách nhà nước tính trên doanh thu chênh lệch tăng trên hóa đơn thực hiện theo quy định của pháp luật quản lý thuế.</w:t>
      </w:r>
    </w:p>
    <w:p>
      <w:pPr>
        <w:bidi w:val="0"/>
        <w:spacing w:before="120" w:beforeAutospacing="0" w:after="280" w:afterAutospacing="1"/>
      </w:pPr>
      <w:r>
        <w:rPr>
          <w:i/>
          <w:iCs/>
          <w:rtl w:val="0"/>
        </w:rPr>
        <w:t>…”</w:t>
      </w:r>
    </w:p>
    <w:p>
      <w:pPr>
        <w:bidi w:val="0"/>
        <w:spacing w:before="120" w:beforeAutospacing="0" w:after="280" w:afterAutospacing="1"/>
      </w:pPr>
      <w:r>
        <w:rPr>
          <w:rtl w:val="0"/>
        </w:rPr>
        <w:t>Căn cứ các quy định nêu trên, đề nghị Công ty căn cứ vào tình hình thực tế của đơn vị, đối chiếu với văn bản pháp luật có liên quan để thực hiện đúng quy định.</w:t>
      </w:r>
    </w:p>
    <w:p>
      <w:pPr>
        <w:bidi w:val="0"/>
        <w:spacing w:before="120" w:beforeAutospacing="0" w:after="280" w:afterAutospacing="1"/>
      </w:pPr>
      <w:r>
        <w:rPr>
          <w:rtl w:val="0"/>
        </w:rPr>
        <w:t>Thuế tỉnh Tây Ninh trả lời cho Công ty được biết và thực hiện theo đúng quy định tại văn bản quy phạm pháp luật đã được trích dẫn tại văn bản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Như trên;</w:t>
            </w:r>
            <w:r>
              <w:rPr>
                <w:sz w:val="16"/>
                <w:rtl w:val="0"/>
              </w:rPr>
              <w:br/>
            </w:r>
            <w:r>
              <w:rPr>
                <w:sz w:val="16"/>
                <w:rtl w:val="0"/>
              </w:rPr>
              <w:t>- Trang web Thuế tỉnh Tây Ninh;</w:t>
            </w:r>
            <w:r>
              <w:rPr>
                <w:sz w:val="16"/>
                <w:rtl w:val="0"/>
              </w:rPr>
              <w:br/>
            </w:r>
            <w:r>
              <w:rPr>
                <w:sz w:val="16"/>
                <w:rtl w:val="0"/>
              </w:rPr>
              <w:t>- Lưu: VT, QLDN2.(Sáu)</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TRƯỞNG THUẾ TỈNH</w:t>
            </w:r>
            <w:r>
              <w:rPr>
                <w:rtl w:val="0"/>
              </w:rPr>
              <w:br/>
            </w:r>
            <w:r>
              <w:rPr>
                <w:b/>
                <w:bCs/>
                <w:rtl w:val="0"/>
              </w:rPr>
              <w:t>PHÓ TRƯỞNG THUẾ TỈNH</w:t>
            </w:r>
            <w:r>
              <w:rPr>
                <w:b/>
                <w:bCs/>
                <w:rtl w:val="0"/>
              </w:rPr>
              <w:br/>
            </w:r>
            <w:r>
              <w:rPr>
                <w:b/>
                <w:bCs/>
                <w:rtl w:val="0"/>
              </w:rPr>
              <w:br/>
            </w:r>
            <w:r>
              <w:rPr>
                <w:b/>
                <w:bCs/>
                <w:rtl w:val="0"/>
              </w:rPr>
              <w:br/>
            </w:r>
            <w:r>
              <w:rPr>
                <w:b/>
                <w:bCs/>
                <w:rtl w:val="0"/>
              </w:rPr>
              <w:br/>
            </w:r>
            <w:r>
              <w:rPr>
                <w:rtl w:val="0"/>
              </w:rPr>
              <w:br/>
            </w:r>
            <w:r>
              <w:rPr>
                <w:b/>
                <w:bCs/>
                <w:rtl w:val="0"/>
              </w:rPr>
              <w:t>Nguyễn Thị Sang</w:t>
            </w:r>
          </w:p>
        </w:tc>
      </w:tr>
    </w:tbl>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