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916"/>
        <w:gridCol w:w="5724"/>
      </w:tblGrid>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BỘ TÀI CHÍNH</w:t>
            </w:r>
            <w:r>
              <w:rPr>
                <w:rtl w:val="0"/>
              </w:rPr>
              <w:br/>
            </w:r>
            <w:r>
              <w:rPr>
                <w:b/>
                <w:bCs/>
                <w:rtl w:val="0"/>
              </w:rPr>
              <w:t>CỤC THUẾ</w:t>
            </w:r>
            <w:r>
              <w:rPr>
                <w:b/>
                <w:bCs/>
                <w:rtl w:val="0"/>
              </w:rPr>
              <w:br/>
            </w:r>
            <w:r>
              <w:rPr>
                <w:b/>
                <w:bCs/>
                <w:rtl w:val="0"/>
              </w:rPr>
              <w:t>-------</w:t>
            </w:r>
          </w:p>
        </w:tc>
        <w:tc>
          <w:tcPr>
            <w:tcW w:w="550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rPr>
                <w:rtl w:val="0"/>
              </w:rPr>
            </w:pPr>
            <w:r>
              <w:rPr>
                <w:rtl w:val="0"/>
              </w:rPr>
              <w:t xml:space="preserve">Số: </w:t>
            </w:r>
            <w:r>
              <w:rPr>
                <w:rtl w:val="0"/>
              </w:rPr>
              <w:t>3405</w:t>
            </w:r>
            <w:r>
              <w:rPr>
                <w:rtl w:val="0"/>
              </w:rPr>
              <w:t>/CT-CS</w:t>
            </w:r>
            <w:r>
              <w:rPr>
                <w:rtl w:val="0"/>
              </w:rPr>
              <w:br/>
            </w:r>
            <w:r>
              <w:rPr>
                <w:i/>
                <w:iCs/>
                <w:sz w:val="16"/>
                <w:rtl w:val="0"/>
              </w:rPr>
              <w:t>V/v hóa đơn điện tử</w:t>
            </w:r>
          </w:p>
        </w:tc>
        <w:tc>
          <w:tcPr>
            <w:tcW w:w="5508"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Hà Nội, ngày 26 tháng 5 năm 2026</w:t>
            </w:r>
          </w:p>
        </w:tc>
      </w:tr>
    </w:tbl>
    <w:p>
      <w:pPr>
        <w:bidi w:val="0"/>
        <w:spacing w:before="120" w:beforeAutospacing="0" w:after="280" w:afterAutospacing="1"/>
      </w:pPr>
      <w:r>
        <w:rPr>
          <w:rtl w:val="0"/>
        </w:rPr>
        <w:t> </w:t>
      </w:r>
    </w:p>
    <w:p>
      <w:pPr>
        <w:bidi w:val="0"/>
        <w:spacing w:before="120" w:beforeAutospacing="0" w:after="280" w:afterAutospacing="1"/>
        <w:jc w:val="center"/>
      </w:pPr>
      <w:r>
        <w:rPr>
          <w:b/>
          <w:bCs/>
          <w:rtl w:val="0"/>
        </w:rPr>
        <w:t>Kính gửi:</w:t>
      </w:r>
      <w:r>
        <w:rPr>
          <w:rtl w:val="0"/>
        </w:rPr>
        <w:t xml:space="preserve"> Thuế tỉnh Đồng Tháp.</w:t>
      </w:r>
    </w:p>
    <w:p>
      <w:pPr>
        <w:bidi w:val="0"/>
        <w:spacing w:before="120" w:beforeAutospacing="0" w:after="280" w:afterAutospacing="1"/>
      </w:pPr>
      <w:r>
        <w:rPr>
          <w:rtl w:val="0"/>
        </w:rPr>
        <w:t xml:space="preserve">Trả lời công văn số 3119/ĐTH-CNTK ngày 06/5/2026 của Thuế tỉnh Đồng Tháp về việc hóa đơn điện tử, Cục Thuế có ý kiến như sau: </w:t>
      </w:r>
    </w:p>
    <w:p>
      <w:pPr>
        <w:bidi w:val="0"/>
        <w:spacing w:before="120" w:beforeAutospacing="0" w:after="280" w:afterAutospacing="1"/>
      </w:pPr>
      <w:r>
        <w:rPr>
          <w:rtl w:val="0"/>
        </w:rPr>
        <w:t xml:space="preserve">Tại </w:t>
      </w:r>
      <w:bookmarkStart w:id="0" w:name="dc_1"/>
      <w:r>
        <w:rPr>
          <w:rtl w:val="0"/>
        </w:rPr>
        <w:t>điểm b khoản 2 Điều 1 Nghị định số 141/2026/NĐ-CP</w:t>
      </w:r>
      <w:bookmarkEnd w:id="0"/>
      <w:r>
        <w:rPr>
          <w:rtl w:val="0"/>
        </w:rPr>
        <w:t xml:space="preserve"> ngày 29/4/2026 của Chính phủ quy định: </w:t>
      </w:r>
      <w:r>
        <w:rPr>
          <w:i/>
          <w:iCs/>
          <w:rtl w:val="0"/>
        </w:rPr>
        <w:t>"b) Trường hợp hộ kinh doanh, cá nhân kinh doanh có doanh thu năm từ 01 tỷ đồng trở xuống đáp ứng điều kiện và có nhu cầu sử dụng hóa đơn điện tử thì đăng ký sử dụng hóa đơn điện tử có mã của cơ quan thuế hoặc hóa đơn điện tử khởi tạo từ máy tính tiền có kết nối dữ liệu với cơ quan thuế;"</w:t>
      </w:r>
      <w:r>
        <w:rPr>
          <w:rtl w:val="0"/>
        </w:rPr>
        <w:t xml:space="preserve"> </w:t>
      </w:r>
    </w:p>
    <w:p>
      <w:pPr>
        <w:bidi w:val="0"/>
        <w:spacing w:before="120" w:beforeAutospacing="0" w:after="280" w:afterAutospacing="1"/>
      </w:pPr>
      <w:r>
        <w:rPr>
          <w:rtl w:val="0"/>
        </w:rPr>
        <w:t xml:space="preserve">Tại </w:t>
      </w:r>
      <w:bookmarkStart w:id="1" w:name="dc_2"/>
      <w:r>
        <w:rPr>
          <w:rtl w:val="0"/>
        </w:rPr>
        <w:t>điểm a khoản 3 Điều 1 Nghị định số 70/2025/NĐ-CP</w:t>
      </w:r>
      <w:bookmarkEnd w:id="1"/>
      <w:r>
        <w:rPr>
          <w:rtl w:val="0"/>
        </w:rPr>
        <w:t xml:space="preserve"> ngày 20/3/2025 của Chính phủ sửa đổi, bổ sung một số điều của Nghị định số 123/2020/NĐ-CP ngày 19/10/2020 của Chính phủ quy định về lập hóa đơn quy định: </w:t>
      </w:r>
      <w:r>
        <w:rPr>
          <w:i/>
          <w:iCs/>
          <w:rtl w:val="0"/>
        </w:rPr>
        <w:t xml:space="preserve">“1. Khi bán hàng hóa, cung cấp dịch vụ, người bán phải lập hóa đơn để giao cho người mua (bao gồm cả các trường hợp hàng hóa, dịch vụ dùng để khuyến mại, quảng cáo, hàng mẫu; hàng hóa, dịch vụ dùng để cho, biếu, tặng, trao đổi, trả thay lương cho người lao động và tiêu dùng nội bộ (trừ hàng hóa luân chuyển nội bộ để tiếp tục quá trình sản xuất); xuất hàng hóa dưới các hình thức cho vay, cho mượn hoặc hoàn trả hàng hóa) và các trường hợp lập hóa đơn theo quy định tại </w:t>
      </w:r>
      <w:bookmarkStart w:id="2" w:name="dc_3"/>
      <w:r>
        <w:rPr>
          <w:i/>
          <w:iCs/>
          <w:rtl w:val="0"/>
        </w:rPr>
        <w:t>Điều 19 Nghị định</w:t>
      </w:r>
      <w:bookmarkEnd w:id="2"/>
      <w:r>
        <w:rPr>
          <w:i/>
          <w:iCs/>
          <w:rtl w:val="0"/>
        </w:rPr>
        <w:t xml:space="preserve"> này. Hóa đơn phải ghi đầy đủ nội dung theo quy định tại </w:t>
      </w:r>
      <w:bookmarkStart w:id="3" w:name="dc_5"/>
      <w:r>
        <w:rPr>
          <w:i/>
          <w:iCs/>
          <w:rtl w:val="0"/>
        </w:rPr>
        <w:t>Điều 10 Nghị định</w:t>
      </w:r>
      <w:bookmarkEnd w:id="3"/>
      <w:r>
        <w:rPr>
          <w:i/>
          <w:iCs/>
          <w:rtl w:val="0"/>
        </w:rPr>
        <w:t xml:space="preserve"> này. Trường hợp sử dụng hóa đơn điện tử phải theo định dạng chuẩn dữ liệu của cơ quan thuế theo quy định tại </w:t>
      </w:r>
      <w:bookmarkStart w:id="4" w:name="dc_4"/>
      <w:r>
        <w:rPr>
          <w:i/>
          <w:iCs/>
          <w:rtl w:val="0"/>
        </w:rPr>
        <w:t>Điều 12 Nghị định</w:t>
      </w:r>
      <w:bookmarkEnd w:id="4"/>
      <w:r>
        <w:rPr>
          <w:i/>
          <w:iCs/>
          <w:rtl w:val="0"/>
        </w:rPr>
        <w:t xml:space="preserve"> này.” </w:t>
      </w:r>
    </w:p>
    <w:p>
      <w:pPr>
        <w:bidi w:val="0"/>
        <w:spacing w:before="120" w:beforeAutospacing="0" w:after="280" w:afterAutospacing="1"/>
      </w:pPr>
      <w:r>
        <w:rPr>
          <w:rtl w:val="0"/>
        </w:rPr>
        <w:t xml:space="preserve">Căn cứ quy định nêu trên, Cục Thuế thống nhất với đề xuất xử lý của Thuế tỉnh Đồng Tháp tại công văn số 3119/ĐTH-CNTK ngày 06/5/2026. </w:t>
      </w:r>
    </w:p>
    <w:p>
      <w:pPr>
        <w:bidi w:val="0"/>
        <w:spacing w:before="120" w:beforeAutospacing="0" w:after="280" w:afterAutospacing="1"/>
      </w:pPr>
      <w:r>
        <w:rPr>
          <w:rtl w:val="0"/>
        </w:rPr>
        <w:t>Cục Thuế có ý kiến để Thuế tỉnh Đồng Tháp được biết./.</w:t>
      </w:r>
    </w:p>
    <w:p>
      <w:pPr>
        <w:bidi w:val="0"/>
        <w:spacing w:before="120" w:beforeAutospacing="0" w:after="280" w:afterAutospacing="1"/>
      </w:pPr>
      <w:r>
        <w:rPr>
          <w:rtl w:val="0"/>
        </w:rPr>
        <w:t> </w:t>
      </w:r>
    </w:p>
    <w:tbl>
      <w:tblPr>
        <w:jc w:val="left"/>
        <w:tblCellMar>
          <w:top w:w="0" w:type="dxa"/>
          <w:left w:w="0" w:type="dxa"/>
          <w:bottom w:w="0" w:type="dxa"/>
          <w:right w:w="0" w:type="dxa"/>
        </w:tblCellMar>
      </w:tblPr>
      <w:tblGrid>
        <w:gridCol w:w="3980"/>
        <w:gridCol w:w="4660"/>
      </w:tblGrid>
      <w:tr>
        <w:tblPrEx>
          <w:jc w:val="left"/>
          <w:tblCellMar>
            <w:top w:w="0" w:type="dxa"/>
            <w:left w:w="0" w:type="dxa"/>
            <w:bottom w:w="0" w:type="dxa"/>
            <w:right w:w="0" w:type="dxa"/>
          </w:tblCellMar>
        </w:tblPrEx>
        <w:trPr>
          <w:jc w:val="left"/>
        </w:trPr>
        <w:tc>
          <w:tcPr>
            <w:tcW w:w="4068" w:type="dxa"/>
            <w:shd w:val="clear" w:color="auto" w:fill="auto"/>
            <w:tcMar>
              <w:top w:w="0" w:type="dxa"/>
              <w:left w:w="108" w:type="dxa"/>
              <w:bottom w:w="0" w:type="dxa"/>
              <w:right w:w="108" w:type="dxa"/>
            </w:tcMar>
          </w:tcPr>
          <w:p>
            <w:pPr>
              <w:bidi w:val="0"/>
              <w:spacing w:before="120" w:beforeAutospacing="0" w:after="0" w:afterAutospacing="0"/>
            </w:pPr>
            <w:r>
              <w:rPr>
                <w:b/>
                <w:bCs/>
                <w:i/>
                <w:iCs/>
                <w:rtl w:val="0"/>
              </w:rPr>
              <w:br/>
            </w:r>
            <w:r>
              <w:rPr>
                <w:b/>
                <w:bCs/>
                <w:i/>
                <w:iCs/>
                <w:rtl w:val="0"/>
              </w:rPr>
              <w:t>Nơi nhận:</w:t>
            </w:r>
            <w:r>
              <w:rPr>
                <w:b/>
                <w:bCs/>
                <w:i/>
                <w:iCs/>
                <w:rtl w:val="0"/>
              </w:rPr>
              <w:br/>
            </w:r>
            <w:r>
              <w:rPr>
                <w:rtl w:val="0"/>
              </w:rPr>
              <w:t xml:space="preserve">- Như trên; </w:t>
            </w:r>
            <w:r>
              <w:rPr>
                <w:rtl w:val="0"/>
              </w:rPr>
              <w:br/>
            </w:r>
            <w:r>
              <w:rPr>
                <w:rtl w:val="0"/>
              </w:rPr>
              <w:t xml:space="preserve">- Phó CTr Đặng Ngọc Minh (để b/c); </w:t>
            </w:r>
            <w:r>
              <w:rPr>
                <w:rtl w:val="0"/>
              </w:rPr>
              <w:br/>
            </w:r>
            <w:r>
              <w:rPr>
                <w:rtl w:val="0"/>
              </w:rPr>
              <w:t xml:space="preserve">- Ban PC, NVT; </w:t>
            </w:r>
            <w:r>
              <w:rPr>
                <w:rtl w:val="0"/>
              </w:rPr>
              <w:br/>
            </w:r>
            <w:r>
              <w:rPr>
                <w:rtl w:val="0"/>
              </w:rPr>
              <w:t xml:space="preserve">- Website CT; </w:t>
            </w:r>
            <w:r>
              <w:rPr>
                <w:rtl w:val="0"/>
              </w:rPr>
              <w:br/>
            </w:r>
            <w:r>
              <w:rPr>
                <w:rtl w:val="0"/>
              </w:rPr>
              <w:t>- Lưu: VT, CS</w:t>
            </w:r>
            <w:r>
              <w:rPr>
                <w:rtl w:val="0"/>
              </w:rPr>
              <w:t xml:space="preserve"> (2b).</w:t>
            </w:r>
          </w:p>
        </w:tc>
        <w:tc>
          <w:tcPr>
            <w:tcW w:w="478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TL. CỤC TRƯỞNG</w:t>
            </w:r>
            <w:r>
              <w:rPr>
                <w:b/>
                <w:bCs/>
                <w:rtl w:val="0"/>
              </w:rPr>
              <w:br/>
            </w:r>
            <w:r>
              <w:rPr>
                <w:b/>
                <w:bCs/>
                <w:rtl w:val="0"/>
              </w:rPr>
              <w:t xml:space="preserve">KT. </w:t>
            </w:r>
            <w:r>
              <w:rPr>
                <w:b/>
                <w:bCs/>
                <w:rtl w:val="0"/>
              </w:rPr>
              <w:t xml:space="preserve">TRƯỞNG BAN CHÍNH SÁCH, </w:t>
            </w:r>
            <w:r>
              <w:rPr>
                <w:b/>
                <w:bCs/>
                <w:rtl w:val="0"/>
              </w:rPr>
              <w:br/>
            </w:r>
            <w:r>
              <w:rPr>
                <w:b/>
                <w:bCs/>
                <w:rtl w:val="0"/>
              </w:rPr>
              <w:t>THUẾ QUỐC TẾ</w:t>
            </w:r>
            <w:r>
              <w:rPr>
                <w:b/>
                <w:bCs/>
                <w:rtl w:val="0"/>
              </w:rPr>
              <w:br/>
            </w:r>
            <w:r>
              <w:rPr>
                <w:b/>
                <w:bCs/>
                <w:rtl w:val="0"/>
              </w:rPr>
              <w:t>PHÓ TRƯỞNG BAN</w:t>
            </w:r>
            <w:r>
              <w:rPr>
                <w:b/>
                <w:bCs/>
                <w:rtl w:val="0"/>
              </w:rPr>
              <w:br/>
            </w:r>
            <w:r>
              <w:rPr>
                <w:b/>
                <w:bCs/>
                <w:rtl w:val="0"/>
              </w:rPr>
              <w:br/>
            </w:r>
            <w:r>
              <w:rPr>
                <w:b/>
                <w:bCs/>
                <w:rtl w:val="0"/>
              </w:rPr>
              <w:br/>
            </w:r>
            <w:r>
              <w:rPr>
                <w:b/>
                <w:bCs/>
                <w:rtl w:val="0"/>
              </w:rPr>
              <w:br/>
            </w:r>
            <w:r>
              <w:rPr>
                <w:b/>
                <w:bCs/>
                <w:rtl w:val="0"/>
              </w:rPr>
              <w:br/>
            </w:r>
            <w:r>
              <w:rPr>
                <w:b/>
                <w:bCs/>
                <w:rtl w:val="0"/>
              </w:rPr>
              <w:t>Phạm Thị Minh Hiền</w:t>
            </w:r>
          </w:p>
        </w:tc>
      </w:tr>
    </w:tbl>
    <w:p>
      <w:pPr>
        <w:bidi w:val="0"/>
        <w:spacing w:before="120" w:beforeAutospacing="0" w:after="280" w:afterAutospacing="1"/>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