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3389"/>
        <w:gridCol w:w="5251"/>
      </w:tblGrid>
      <w:tr>
        <w:tblPrEx>
          <w:tblW w:w="5000" w:type="pct"/>
          <w:jc w:val="left"/>
          <w:tblCellMar>
            <w:top w:w="0" w:type="dxa"/>
            <w:left w:w="0" w:type="dxa"/>
            <w:bottom w:w="0" w:type="dxa"/>
            <w:right w:w="0" w:type="dxa"/>
          </w:tblCellMar>
        </w:tblPrEx>
        <w:trPr>
          <w:jc w:val="left"/>
        </w:trPr>
        <w:tc>
          <w:tcPr>
            <w:tcW w:w="1961"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CỤC THUẾ</w:t>
            </w:r>
            <w:r>
              <w:rPr>
                <w:rtl w:val="0"/>
              </w:rPr>
              <w:br/>
            </w:r>
            <w:r>
              <w:rPr>
                <w:b/>
                <w:bCs/>
                <w:rtl w:val="0"/>
              </w:rPr>
              <w:t>THUẾ TỈNH QUẢNG NGÃI</w:t>
            </w:r>
            <w:r>
              <w:rPr>
                <w:b/>
                <w:bCs/>
                <w:rtl w:val="0"/>
              </w:rPr>
              <w:br/>
            </w:r>
            <w:r>
              <w:rPr>
                <w:b/>
                <w:bCs/>
                <w:rtl w:val="0"/>
              </w:rPr>
              <w:t>-------</w:t>
            </w:r>
          </w:p>
        </w:tc>
        <w:tc>
          <w:tcPr>
            <w:tcW w:w="3039" w:type="pct"/>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1961" w:type="pct"/>
            <w:shd w:val="clear" w:color="auto" w:fill="auto"/>
            <w:tcMar>
              <w:top w:w="0" w:type="dxa"/>
              <w:left w:w="108" w:type="dxa"/>
              <w:bottom w:w="0" w:type="dxa"/>
              <w:right w:w="108" w:type="dxa"/>
            </w:tcMar>
          </w:tcPr>
          <w:p>
            <w:pPr>
              <w:bidi w:val="0"/>
              <w:spacing w:before="120" w:beforeAutospacing="0" w:after="0" w:afterAutospacing="0"/>
              <w:rPr>
                <w:rtl w:val="0"/>
              </w:rPr>
            </w:pPr>
            <w:r>
              <w:rPr>
                <w:rtl w:val="0"/>
              </w:rPr>
              <w:t>Số: 2528/QNG-QLDN1</w:t>
            </w:r>
            <w:r>
              <w:rPr>
                <w:rtl w:val="0"/>
              </w:rPr>
              <w:br/>
            </w:r>
            <w:r>
              <w:rPr>
                <w:i/>
                <w:iCs/>
                <w:sz w:val="16"/>
                <w:rtl w:val="0"/>
              </w:rPr>
              <w:t>V/v hướng dẫn thời điểm lập hóa đơn</w:t>
            </w:r>
          </w:p>
        </w:tc>
        <w:tc>
          <w:tcPr>
            <w:tcW w:w="3039" w:type="pct"/>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Quảng Ngãi, ngày 10 tháng 4 năm 2026</w:t>
            </w:r>
          </w:p>
        </w:tc>
      </w:tr>
    </w:tbl>
    <w:p>
      <w:pPr>
        <w:bidi w:val="0"/>
        <w:spacing w:before="120" w:beforeAutospacing="0" w:after="280" w:afterAutospacing="1"/>
      </w:pPr>
      <w:r>
        <w:rPr>
          <w:i/>
          <w:iCs/>
          <w:rtl w:val="0"/>
        </w:rPr>
        <w:t> </w:t>
      </w:r>
    </w:p>
    <w:tbl>
      <w:tblPr>
        <w:tblW w:w="5000" w:type="pct"/>
        <w:jc w:val="left"/>
        <w:tblCellMar>
          <w:top w:w="0" w:type="dxa"/>
          <w:left w:w="0" w:type="dxa"/>
          <w:bottom w:w="0" w:type="dxa"/>
          <w:right w:w="0" w:type="dxa"/>
        </w:tblCellMar>
      </w:tblPr>
      <w:tblGrid>
        <w:gridCol w:w="2915"/>
        <w:gridCol w:w="5725"/>
      </w:tblGrid>
      <w:tr>
        <w:tblPrEx>
          <w:tblW w:w="5000" w:type="pct"/>
          <w:jc w:val="left"/>
          <w:tblCellMar>
            <w:top w:w="0" w:type="dxa"/>
            <w:left w:w="0" w:type="dxa"/>
            <w:bottom w:w="0" w:type="dxa"/>
            <w:right w:w="0" w:type="dxa"/>
          </w:tblCellMar>
        </w:tblPrEx>
        <w:trPr>
          <w:jc w:val="left"/>
        </w:trPr>
        <w:tc>
          <w:tcPr>
            <w:tcW w:w="1687" w:type="pct"/>
            <w:shd w:val="clear" w:color="auto" w:fill="auto"/>
            <w:tcMar>
              <w:top w:w="0" w:type="dxa"/>
              <w:left w:w="108" w:type="dxa"/>
              <w:bottom w:w="0" w:type="dxa"/>
              <w:right w:w="108" w:type="dxa"/>
            </w:tcMar>
          </w:tcPr>
          <w:p>
            <w:pPr>
              <w:bidi w:val="0"/>
              <w:spacing w:before="120" w:beforeAutospacing="0" w:after="0" w:afterAutospacing="0"/>
              <w:jc w:val="right"/>
            </w:pPr>
            <w:r>
              <w:rPr>
                <w:b/>
                <w:bCs/>
                <w:rtl w:val="0"/>
              </w:rPr>
              <w:t>Kính gửi: </w:t>
            </w:r>
          </w:p>
        </w:tc>
        <w:tc>
          <w:tcPr>
            <w:tcW w:w="3313" w:type="pct"/>
            <w:shd w:val="clear" w:color="auto" w:fill="auto"/>
            <w:tcMar>
              <w:top w:w="0" w:type="dxa"/>
              <w:left w:w="108" w:type="dxa"/>
              <w:bottom w:w="0" w:type="dxa"/>
              <w:right w:w="108" w:type="dxa"/>
            </w:tcMar>
          </w:tcPr>
          <w:p>
            <w:pPr>
              <w:bidi w:val="0"/>
              <w:spacing w:before="120" w:beforeAutospacing="0" w:after="0" w:afterAutospacing="0"/>
            </w:pPr>
            <w:r>
              <w:rPr>
                <w:rtl w:val="0"/>
              </w:rPr>
              <w:t>CÔNG TY CỔ PHẦN DU LỊCH VIETRAVEL - CHI NHÁNH QUẢNG NGÃI;</w:t>
            </w:r>
            <w:r>
              <w:rPr>
                <w:rtl w:val="0"/>
              </w:rPr>
              <w:br/>
            </w:r>
            <w:r>
              <w:rPr>
                <w:rtl w:val="0"/>
              </w:rPr>
              <w:t>Mã số thuế: 0300465937-024;</w:t>
            </w:r>
            <w:r>
              <w:rPr>
                <w:rtl w:val="0"/>
              </w:rPr>
              <w:br/>
            </w:r>
            <w:r>
              <w:rPr>
                <w:rtl w:val="0"/>
              </w:rPr>
              <w:t>Địa chỉ: Số 516 - đường Quang Trung, Phường Cẩm Thành, tỉnh Quảng Ngãi.</w:t>
            </w:r>
          </w:p>
        </w:tc>
      </w:tr>
    </w:tbl>
    <w:p>
      <w:pPr>
        <w:bidi w:val="0"/>
        <w:spacing w:before="120" w:beforeAutospacing="0" w:after="280" w:afterAutospacing="1"/>
      </w:pPr>
      <w:r>
        <w:rPr>
          <w:rtl w:val="0"/>
        </w:rPr>
        <w:t>Thuế tỉnh Quảng Ngãi nhận được Công văn số 01-QNG/CV-VT/2026 ngày 27/03/2026 của Công ty CP Du lịch Vietravel - Chi nhánh Quảng Ngãi (gọi tắt là Công ty) đề nghị hướng dẫn về thời điểm lập hóa đơn đối với cung cấp dịch vụ có thu tiền trước. Về vấn đề này, Thuế tỉnh Quảng Ngãi có ý kiến như sau:</w:t>
      </w:r>
    </w:p>
    <w:p>
      <w:pPr>
        <w:bidi w:val="0"/>
        <w:spacing w:before="120" w:beforeAutospacing="0" w:after="280" w:afterAutospacing="1"/>
      </w:pPr>
      <w:r>
        <w:rPr>
          <w:rtl w:val="0"/>
        </w:rPr>
        <w:t>- Căn cứ khoản 1 Điều 4 Nghị định số 123/2020/NĐ-CP ngày 19/10/2020 (được sửa đổi, bổ sung tại điểm a khoản 3 Điều 1 Nghị định số 70/2025/NĐ-CP ngày 20/3/2025) quy định về nguyên tắc lập hóa đơn khi bán hàng hóa, cung cấp dịch vụ.</w:t>
      </w:r>
    </w:p>
    <w:p>
      <w:pPr>
        <w:bidi w:val="0"/>
        <w:spacing w:before="120" w:beforeAutospacing="0" w:after="280" w:afterAutospacing="1"/>
      </w:pPr>
      <w:r>
        <w:rPr>
          <w:rtl w:val="0"/>
        </w:rPr>
        <w:t>- Căn cứ Điều 9 Nghị định số 123/2020/NĐ-CP (đã được sửa đổi, bổ sung tại khoản 6 Điều 1 Nghị định số 70/2025/NĐ-CP) quy định về thời điểm lập hóa đơn đối với bán hàng hóa, cung cấp dịch vụ.</w:t>
      </w:r>
    </w:p>
    <w:p>
      <w:pPr>
        <w:bidi w:val="0"/>
        <w:spacing w:before="120" w:beforeAutospacing="0" w:after="280" w:afterAutospacing="1"/>
      </w:pPr>
      <w:r>
        <w:rPr>
          <w:rtl w:val="0"/>
        </w:rPr>
        <w:t>- Căn cứ khoản 13 Điều 1 Nghị định số 70/2025/NĐ-CP (sửa đổi, bổ sung Điều 19 Nghị định số 123/2020/NĐ-CP), trong đó tại điểm 4 khoản 13 quy định xử lý hóa đơn để điều chỉnh hóa đơn điện tử đã lập trong một số trường hợp.</w:t>
      </w:r>
    </w:p>
    <w:p>
      <w:pPr>
        <w:bidi w:val="0"/>
        <w:spacing w:before="120" w:beforeAutospacing="0" w:after="280" w:afterAutospacing="1"/>
      </w:pPr>
      <w:r>
        <w:rPr>
          <w:rtl w:val="0"/>
        </w:rPr>
        <w:t>- Căn cứ Điều 6 Thông tư số 32/2025/TT-BTC ngày 31/5/2025 của Bộ Tài chính quy định áp dụng hóa đơn điện tử đối với một số trường hợp khác.</w:t>
      </w:r>
    </w:p>
    <w:p>
      <w:pPr>
        <w:bidi w:val="0"/>
        <w:spacing w:before="120" w:beforeAutospacing="0" w:after="280" w:afterAutospacing="1"/>
      </w:pPr>
      <w:r>
        <w:rPr>
          <w:rtl w:val="0"/>
        </w:rPr>
        <w:t>Trên cơ sở nội dung công văn hỏi của Công ty CP Du lịch Vietravel - Chi nhánh Quảng Ngãi, Thuế tỉnh Quảng Ngãi hướng dẫn về nguyên tắc như sau:</w:t>
      </w:r>
    </w:p>
    <w:p>
      <w:pPr>
        <w:bidi w:val="0"/>
        <w:spacing w:before="120" w:beforeAutospacing="0" w:after="280" w:afterAutospacing="1"/>
      </w:pPr>
      <w:r>
        <w:rPr>
          <w:rtl w:val="0"/>
        </w:rPr>
        <w:t>Theo quy định hiện hành, thời điểm lập hóa đơn đối với cung cấp dịch vụ là thời điểm hoàn thành việc cung cấp dịch vụ không phân biệt đã thu được tiền hay chưa thu được tiền. Trường hợp người cung cấp dịch vụ có thu tiền trước hoặc trong khi cung cấp dịch vụ thì thời điểm lập hóa đơn là thời điểm thu tiền (không bao gồm trường hợp thu tiền đặt cọc hoặc tạm ứng để đảm bảo thực hiện hợp đồng cung cấp các dịch vụ: Kế toán, kiểm toán, tư vấn tài chính, thuế; thẩm định giá; khảo sát, thiết kế kỹ thuật; tư vấn giám sát; lập dự án đầu tư xây dựng). Do đó, trường hợp Công ty cung cấp dịch vụ tour du lịch có thu tiền trước của khách hàng thì Công ty căn cứ thời điểm thu tiền theo quy định nêu trên để thực hiện lập hóa đơn, khai thuế đúng theo quy định.</w:t>
      </w:r>
    </w:p>
    <w:p>
      <w:pPr>
        <w:bidi w:val="0"/>
        <w:spacing w:before="120" w:beforeAutospacing="0" w:after="280" w:afterAutospacing="1"/>
      </w:pPr>
      <w:r>
        <w:rPr>
          <w:rtl w:val="0"/>
        </w:rPr>
        <w:t>Đối với nội dung Công ty kiến nghị, Thuế tỉnh Quảng Ngãi ghi nhận và tổng hợp báo cáo khi các cơ quan các cấp có thẩm quyền yêu cầu báo cáo vướng mắc, kiến nghị có liên quan.</w:t>
      </w:r>
    </w:p>
    <w:p>
      <w:pPr>
        <w:bidi w:val="0"/>
        <w:spacing w:before="120" w:beforeAutospacing="0" w:after="280" w:afterAutospacing="1"/>
      </w:pPr>
      <w:r>
        <w:rPr>
          <w:rtl w:val="0"/>
        </w:rPr>
        <w:t>Thuế tỉnh Quảng Ngãi trả lời cho Công ty biết và thực hiện./.</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Như trên;</w:t>
            </w:r>
            <w:r>
              <w:rPr>
                <w:sz w:val="16"/>
                <w:rtl w:val="0"/>
              </w:rPr>
              <w:br/>
            </w:r>
            <w:r>
              <w:rPr>
                <w:sz w:val="16"/>
                <w:rtl w:val="0"/>
              </w:rPr>
              <w:t>- Các phòng: KTr1, KTr2, QLDN2, NVDTPC;</w:t>
            </w:r>
            <w:r>
              <w:rPr>
                <w:sz w:val="16"/>
                <w:rtl w:val="0"/>
              </w:rPr>
              <w:br/>
            </w:r>
            <w:r>
              <w:rPr>
                <w:sz w:val="16"/>
                <w:rtl w:val="0"/>
              </w:rPr>
              <w:t>- Văn phòng (trả kết quả TMS);</w:t>
            </w:r>
            <w:r>
              <w:rPr>
                <w:sz w:val="16"/>
                <w:rtl w:val="0"/>
              </w:rPr>
              <w:br/>
            </w:r>
            <w:r>
              <w:rPr>
                <w:sz w:val="16"/>
                <w:rtl w:val="0"/>
              </w:rPr>
              <w:t>- Website Thuế tỉnh Quảng Ngãi;</w:t>
            </w:r>
            <w:r>
              <w:rPr>
                <w:sz w:val="16"/>
                <w:rtl w:val="0"/>
              </w:rPr>
              <w:br/>
            </w:r>
            <w:r>
              <w:rPr>
                <w:sz w:val="16"/>
                <w:rtl w:val="0"/>
              </w:rPr>
              <w:t>- Lưu: VT, QLDN1 (ptmhieu).</w:t>
            </w:r>
          </w:p>
        </w:tc>
        <w:tc>
          <w:tcPr>
            <w:tcW w:w="2500" w:type="pct"/>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KT. TRƯỞNG THUẾ TỈNH</w:t>
            </w:r>
            <w:r>
              <w:rPr>
                <w:b/>
                <w:bCs/>
                <w:rtl w:val="0"/>
              </w:rPr>
              <w:br/>
            </w:r>
            <w:r>
              <w:rPr>
                <w:b/>
                <w:bCs/>
                <w:rtl w:val="0"/>
              </w:rPr>
              <w:t>PHÓ TRƯỞNG THUẾ TỈNH</w:t>
            </w:r>
            <w:r>
              <w:rPr>
                <w:b/>
                <w:bCs/>
                <w:rtl w:val="0"/>
              </w:rPr>
              <w:br/>
            </w:r>
            <w:r>
              <w:rPr>
                <w:b/>
                <w:bCs/>
                <w:rtl w:val="0"/>
              </w:rPr>
              <w:br/>
            </w:r>
            <w:r>
              <w:rPr>
                <w:b/>
                <w:bCs/>
                <w:rtl w:val="0"/>
              </w:rPr>
              <w:br/>
            </w:r>
            <w:r>
              <w:rPr>
                <w:b/>
                <w:bCs/>
                <w:rtl w:val="0"/>
              </w:rPr>
              <w:br/>
            </w:r>
            <w:r>
              <w:rPr>
                <w:b/>
                <w:bCs/>
                <w:rtl w:val="0"/>
              </w:rPr>
              <w:br/>
            </w:r>
            <w:r>
              <w:rPr>
                <w:b/>
                <w:bCs/>
                <w:rtl w:val="0"/>
              </w:rPr>
              <w:t>Đinh Thiên Khanh</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