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 xml:space="preserve">CỤC THUẾ </w:t>
            </w:r>
            <w:r>
              <w:rPr>
                <w:rtl w:val="0"/>
              </w:rPr>
              <w:br/>
            </w:r>
            <w:r>
              <w:rPr>
                <w:b/>
                <w:bCs/>
                <w:rtl w:val="0"/>
              </w:rPr>
              <w:t>THUẾ THÀNH PHỐ CẦN THƠ</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rPr>
                <w:rtl w:val="0"/>
              </w:rPr>
            </w:pPr>
            <w:r>
              <w:rPr>
                <w:rtl w:val="0"/>
              </w:rPr>
              <w:t>Số: 3248/CTH-QLDN2</w:t>
            </w:r>
            <w:r>
              <w:rPr>
                <w:rtl w:val="0"/>
              </w:rPr>
              <w:br/>
            </w:r>
            <w:r>
              <w:rPr>
                <w:i/>
                <w:iCs/>
                <w:sz w:val="16"/>
                <w:rtl w:val="0"/>
              </w:rPr>
              <w:t>V/v hướng dẫn về kê khai hóa đơn có chiết khấu thương mại</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 xml:space="preserve">Cần Thơ, ngày 13 tháng 10 năm 2025 </w:t>
            </w:r>
          </w:p>
        </w:tc>
      </w:tr>
    </w:tbl>
    <w:p>
      <w:pPr>
        <w:bidi w:val="0"/>
        <w:spacing w:before="120" w:beforeAutospacing="0" w:after="280" w:afterAutospacing="1"/>
      </w:pPr>
      <w:r>
        <w:rPr>
          <w:rtl w:val="0"/>
        </w:rPr>
        <w:t> </w:t>
      </w:r>
    </w:p>
    <w:p>
      <w:pPr>
        <w:bidi w:val="0"/>
        <w:spacing w:before="120" w:beforeAutospacing="0" w:after="280" w:afterAutospacing="1"/>
        <w:jc w:val="center"/>
      </w:pPr>
      <w:r>
        <w:rPr>
          <w:b/>
          <w:bCs/>
          <w:rtl w:val="0"/>
        </w:rPr>
        <w:t>Kính gửi:</w:t>
      </w:r>
      <w:r>
        <w:rPr>
          <w:rtl w:val="0"/>
        </w:rPr>
        <w:t xml:space="preserve"> Công ty TNHH Công Nghệ Số Việt </w:t>
      </w:r>
      <w:r>
        <w:rPr>
          <w:rtl w:val="0"/>
        </w:rPr>
        <w:br/>
      </w:r>
      <w:r>
        <w:rPr>
          <w:rtl w:val="0"/>
        </w:rPr>
        <w:t>(Địa chỉ: 133, Lý Tự Trọng, P. Ninh Kiều, TP. Cần Thơ)</w:t>
      </w:r>
    </w:p>
    <w:p>
      <w:pPr>
        <w:bidi w:val="0"/>
        <w:spacing w:before="120" w:beforeAutospacing="0" w:after="280" w:afterAutospacing="1"/>
      </w:pPr>
      <w:r>
        <w:rPr>
          <w:rtl w:val="0"/>
        </w:rPr>
        <w:t>Thuế thành phố Cần Thơ nhận được Công văn số 010925/CV.CNSV ngày 30/9/2025 của Công ty TNHH Công Nghệ số Việt (sau đây gọi tắt là công ty), mã số thuế: 1800594675 về việc giải đáp, hướng dẫn khai thuế GTGT của hàng hóa mua vào có chiết khấu thương mại. Về vấn đề này, Thuế thành phố Cần Thơ có ý kiến như sau:</w:t>
      </w:r>
    </w:p>
    <w:p>
      <w:pPr>
        <w:bidi w:val="0"/>
        <w:spacing w:before="120" w:beforeAutospacing="0" w:after="280" w:afterAutospacing="1"/>
      </w:pPr>
      <w:r>
        <w:rPr>
          <w:rtl w:val="0"/>
        </w:rPr>
        <w:t>Căn cứ điểm đ khoản 6 Điều 10 Nghị định số 123/2020/NĐ-CP ngày 19/10/2020 Chính phủ quy định về hóa đơn, chứng từ:</w:t>
      </w:r>
    </w:p>
    <w:p>
      <w:pPr>
        <w:bidi w:val="0"/>
        <w:spacing w:before="120" w:beforeAutospacing="0" w:after="280" w:afterAutospacing="1"/>
      </w:pPr>
      <w:r>
        <w:rPr>
          <w:b/>
          <w:bCs/>
          <w:i/>
          <w:iCs/>
          <w:rtl w:val="0"/>
        </w:rPr>
        <w:t>“Điều 10. Nội dung của hóa đơn</w:t>
      </w:r>
    </w:p>
    <w:p>
      <w:pPr>
        <w:bidi w:val="0"/>
        <w:spacing w:before="120" w:beforeAutospacing="0" w:after="280" w:afterAutospacing="1"/>
      </w:pPr>
      <w:r>
        <w:rPr>
          <w:i/>
          <w:iCs/>
          <w:rtl w:val="0"/>
        </w:rPr>
        <w:t>6. Tên, đơn vị tính, số lượng, đơn giá hàng hóa, dịch vụ; thành tiền chưa có thuế giá trị gia tăng, thuế suất thuế giá trị gia tăng, tổng số tiền thuế giá trị gia tăng theo từng loại thuế suất, tổng cộng tiền thuế giá trị gia tăng, tổng tiền thanh toán đã có thuế giá trị gia tăng.</w:t>
      </w:r>
    </w:p>
    <w:p>
      <w:pPr>
        <w:bidi w:val="0"/>
        <w:spacing w:before="120" w:beforeAutospacing="0" w:after="280" w:afterAutospacing="1"/>
      </w:pPr>
      <w:r>
        <w:rPr>
          <w:i/>
          <w:iCs/>
          <w:rtl w:val="0"/>
        </w:rPr>
        <w:t>…</w:t>
      </w:r>
    </w:p>
    <w:p>
      <w:pPr>
        <w:bidi w:val="0"/>
        <w:spacing w:before="120" w:beforeAutospacing="0" w:after="280" w:afterAutospacing="1"/>
      </w:pPr>
      <w:r>
        <w:rPr>
          <w:i/>
          <w:iCs/>
          <w:rtl w:val="0"/>
        </w:rPr>
        <w:t>đ) Trường hợp cơ sở kinh doanh áp dụng hình thức chiết khấu thương mại dành cho khách hàng hoặc khuyến mại theo quy định của pháp luật thì phải thể hiện rõ khoản chiết khấu thương mại, khuyến mại trên hóa đơn. Việc xác định giá tính thuế giá trị gia tăng (thành tiền chưa có thuế giá trị gia tăng) trong trường hợp áp dụng chiết khấu thương mại dành cho khách hàng hoặc khuyến mại thực hiện theo quy định của pháp luật thuế giá trị gia tăng.”</w:t>
      </w:r>
    </w:p>
    <w:p>
      <w:pPr>
        <w:bidi w:val="0"/>
        <w:spacing w:before="120" w:beforeAutospacing="0" w:after="280" w:afterAutospacing="1"/>
      </w:pPr>
      <w:r>
        <w:rPr>
          <w:rtl w:val="0"/>
        </w:rPr>
        <w:t>Căn cứ khoản 13 Điều 1 Nghị định số 70/2025/NĐ-CP ngày 20/3/2025 sửa đổi, bổ sung Điều 19 Nghị định số 123/2020/NĐ-CP ngày 19/10/2020 Chính phủ quy định về hóa đơn, chứng từ:</w:t>
      </w:r>
    </w:p>
    <w:p>
      <w:pPr>
        <w:bidi w:val="0"/>
        <w:spacing w:before="120" w:beforeAutospacing="0" w:after="280" w:afterAutospacing="1"/>
      </w:pPr>
      <w:r>
        <w:rPr>
          <w:b/>
          <w:bCs/>
          <w:i/>
          <w:iCs/>
          <w:rtl w:val="0"/>
        </w:rPr>
        <w:t>“Điều 19. Thay thế, điều chỉnh hóa đơn điện tử</w:t>
      </w:r>
    </w:p>
    <w:p>
      <w:pPr>
        <w:bidi w:val="0"/>
        <w:spacing w:before="120" w:beforeAutospacing="0" w:after="280" w:afterAutospacing="1"/>
      </w:pPr>
      <w:r>
        <w:rPr>
          <w:i/>
          <w:iCs/>
          <w:rtl w:val="0"/>
        </w:rPr>
        <w:t>…</w:t>
      </w:r>
    </w:p>
    <w:p>
      <w:pPr>
        <w:bidi w:val="0"/>
        <w:spacing w:before="120" w:beforeAutospacing="0" w:after="280" w:afterAutospacing="1"/>
      </w:pPr>
      <w:r>
        <w:rPr>
          <w:i/>
          <w:iCs/>
          <w:rtl w:val="0"/>
        </w:rPr>
        <w:t>4. Hóa đơn để điều chỉnh hóa đơn điện tử đã lập trong một số trường hợp như sau:</w:t>
      </w:r>
    </w:p>
    <w:p>
      <w:pPr>
        <w:bidi w:val="0"/>
        <w:spacing w:before="120" w:beforeAutospacing="0" w:after="280" w:afterAutospacing="1"/>
      </w:pPr>
      <w:r>
        <w:rPr>
          <w:i/>
          <w:iCs/>
          <w:rtl w:val="0"/>
        </w:rPr>
        <w:t>…</w:t>
      </w:r>
    </w:p>
    <w:p>
      <w:pPr>
        <w:bidi w:val="0"/>
        <w:spacing w:before="120" w:beforeAutospacing="0" w:after="280" w:afterAutospacing="1"/>
      </w:pPr>
      <w:r>
        <w:rPr>
          <w:i/>
          <w:iCs/>
          <w:rtl w:val="0"/>
        </w:rPr>
        <w:t xml:space="preserve">b) Trường hợp việc chiết khấu thương mại căn cứ vào số lượng, doanh số hàng hóa, dịch vụ thì số tiền chiết khấu của hàng hóa, dịch vụ đã bán được tính điều chỉnh trên hóa đơn hán hàng hóa, cung cấp dịch vụ của </w:t>
      </w:r>
      <w:r>
        <w:rPr>
          <w:i/>
          <w:iCs/>
          <w:u w:val="single"/>
          <w:rtl w:val="0"/>
        </w:rPr>
        <w:t>lần mua cuối cùng hoặc kỳ tiếp sau</w:t>
      </w:r>
      <w:r>
        <w:rPr>
          <w:i/>
          <w:iCs/>
          <w:rtl w:val="0"/>
        </w:rPr>
        <w:t xml:space="preserve"> đảm bảo số tiền chiết khấu không vượt quá giá trị hàng hóa, dịch vụ ghi trên hóa đơn của lần mua cuối cùng hoặc kỳ tiếp sau hoặc được lập hóa đơn điều chỉnh kèm theo bảng kê các số hóa đơn cần điều chỉnh, số tiền, tiền thuế điều chỉnh. Bảng kê được lưu tại đơn vị và xuất trình khi cơ quan thuế hoặc cơ quan nhà nước có thẩm quyền yêu cầu. Căn cứ vào hóa đơn điều chỉnh, bên bán và bên mua kê khai điều chỉnh doanh thu mua, bán, thuế đầu ra, đầu vào tại </w:t>
      </w:r>
      <w:r>
        <w:rPr>
          <w:i/>
          <w:iCs/>
          <w:u w:val="single"/>
          <w:rtl w:val="0"/>
        </w:rPr>
        <w:t>kỳ lập hóa đơn điều chỉnh</w:t>
      </w:r>
      <w:r>
        <w:rPr>
          <w:i/>
          <w:iCs/>
          <w:rtl w:val="0"/>
        </w:rPr>
        <w:t>.”</w:t>
      </w:r>
    </w:p>
    <w:p>
      <w:pPr>
        <w:bidi w:val="0"/>
        <w:spacing w:before="120" w:beforeAutospacing="0" w:after="280" w:afterAutospacing="1"/>
      </w:pPr>
      <w:r>
        <w:rPr>
          <w:rtl w:val="0"/>
        </w:rPr>
        <w:t>Căn cứ 2 Điều 14 Nghị định số 181/2025/NĐ-CP ngày 01/7/2025 của Chính phủ quy định chi tiết thi hành một số điều của Luật Thuế Giá trị gia tăng:</w:t>
      </w:r>
    </w:p>
    <w:p>
      <w:pPr>
        <w:bidi w:val="0"/>
        <w:spacing w:before="120" w:beforeAutospacing="0" w:after="280" w:afterAutospacing="1"/>
      </w:pPr>
      <w:r>
        <w:rPr>
          <w:b/>
          <w:bCs/>
          <w:i/>
          <w:iCs/>
          <w:rtl w:val="0"/>
        </w:rPr>
        <w:t>“Điều 14. Nguyên tắc xác định giá tính thuế giá trị gia tăng</w:t>
      </w:r>
    </w:p>
    <w:p>
      <w:pPr>
        <w:bidi w:val="0"/>
        <w:spacing w:before="120" w:beforeAutospacing="0" w:after="280" w:afterAutospacing="1"/>
      </w:pPr>
      <w:r>
        <w:rPr>
          <w:i/>
          <w:iCs/>
          <w:rtl w:val="0"/>
        </w:rPr>
        <w:t>…</w:t>
      </w:r>
    </w:p>
    <w:p>
      <w:pPr>
        <w:bidi w:val="0"/>
        <w:spacing w:before="120" w:beforeAutospacing="0" w:after="280" w:afterAutospacing="1"/>
      </w:pPr>
      <w:r>
        <w:rPr>
          <w:i/>
          <w:iCs/>
          <w:rtl w:val="0"/>
        </w:rPr>
        <w:t>2. Trường hợp cơ sở kinh doanh áp dụng hình thức chiết khấu thương mại dành cho khách hàng (nếu có) thì giá tính thuế giá trị gia tăng là giá bán đã chiết khấu thương mại dành cho khách hàng chưa có thuế giá trị gia tăng.”</w:t>
      </w:r>
    </w:p>
    <w:p>
      <w:pPr>
        <w:bidi w:val="0"/>
        <w:spacing w:before="120" w:beforeAutospacing="0" w:after="280" w:afterAutospacing="1"/>
      </w:pPr>
      <w:r>
        <w:rPr>
          <w:rtl w:val="0"/>
        </w:rPr>
        <w:t>Căn cứ các quy định trên, trường hợp công ty mua hàng hóa từ nhà cung cấp có áp dụng chiết khấu thương mại cho khách hàng. Việc xác định mức hưởng chiết khấu được thực hiện sau khi kết thúc chương trình thì số tiền chiết khấu mà người mua được hưởng được tính điều chỉnh trên hóa đơn của lần mua cuối cùng hoặc kỳ tiếp sau đảm bảo số tiền này không vượt quá giá trị hàng hóa, dịch vụ ghi trên hóa đơn hoặc thể hiện trên hóa đơn điều chỉnh kèm theo bảng kê các số hóa đơn cần điều chỉnh, số tiền, tiền thuế điều chỉnh. Căn cứ vào hóa đơn điều chỉnh, bên bán và bên mua kê khai điều chỉnh doanh thu mua, bán, thuế đầu ra, đầu vào tại kỳ lập hóa đơn điều chỉnh.</w:t>
      </w:r>
    </w:p>
    <w:p>
      <w:pPr>
        <w:bidi w:val="0"/>
        <w:spacing w:before="120" w:beforeAutospacing="0" w:after="280" w:afterAutospacing="1"/>
      </w:pPr>
      <w:r>
        <w:rPr>
          <w:rtl w:val="0"/>
        </w:rPr>
        <w:t>Đề nghị công ty căn cứ theo quy định của pháp luật được trích dẫn nêu trên, trên cơ sở đối chiếu tình hình thực tế để thực hiện theo đúng quy định.</w:t>
      </w:r>
    </w:p>
    <w:p>
      <w:pPr>
        <w:bidi w:val="0"/>
        <w:spacing w:before="120" w:beforeAutospacing="0" w:after="280" w:afterAutospacing="1"/>
      </w:pPr>
      <w:r>
        <w:rPr>
          <w:rtl w:val="0"/>
        </w:rPr>
        <w:t>Thuế thành phố Cần Thơ trả lời để Công ty TNHH Công Nghệ số Việt được biết./.</w:t>
      </w:r>
    </w:p>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301"/>
        <w:gridCol w:w="4339"/>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sz w:val="16"/>
                <w:rtl w:val="0"/>
              </w:rPr>
              <w:t>- Như trên “để thực hiện”;</w:t>
            </w:r>
            <w:r>
              <w:rPr>
                <w:sz w:val="16"/>
                <w:rtl w:val="0"/>
              </w:rPr>
              <w:br/>
            </w:r>
            <w:r>
              <w:rPr>
                <w:sz w:val="16"/>
                <w:rtl w:val="0"/>
              </w:rPr>
              <w:t>- Phòng NVDTPC “để rà soát”;</w:t>
            </w:r>
            <w:r>
              <w:rPr>
                <w:sz w:val="16"/>
                <w:rtl w:val="0"/>
              </w:rPr>
              <w:br/>
            </w:r>
            <w:r>
              <w:rPr>
                <w:sz w:val="16"/>
                <w:rtl w:val="0"/>
              </w:rPr>
              <w:t>- Văn phòng; KT1; QLDN 1,3,4;</w:t>
            </w:r>
            <w:r>
              <w:rPr>
                <w:sz w:val="16"/>
                <w:rtl w:val="0"/>
              </w:rPr>
              <w:br/>
            </w:r>
            <w:r>
              <w:rPr>
                <w:sz w:val="16"/>
                <w:rtl w:val="0"/>
              </w:rPr>
              <w:t>- Website Thuế TPCT;</w:t>
            </w:r>
            <w:r>
              <w:rPr>
                <w:sz w:val="16"/>
                <w:rtl w:val="0"/>
              </w:rPr>
              <w:br/>
            </w:r>
            <w:r>
              <w:rPr>
                <w:sz w:val="16"/>
                <w:rtl w:val="0"/>
              </w:rPr>
              <w:t>- Lưu: VT, P.QLDN2</w:t>
            </w:r>
            <w:r>
              <w:rPr>
                <w:sz w:val="16"/>
                <w:vertAlign w:val="subscript"/>
                <w:rtl w:val="0"/>
              </w:rPr>
              <w:t>PD</w:t>
            </w:r>
            <w:r>
              <w:rPr>
                <w:sz w:val="16"/>
                <w:rtl w:val="0"/>
              </w:rPr>
              <w:t>(2b).</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KT. TRƯỞNG THUẾ THÀNH PHỐ</w:t>
            </w:r>
            <w:r>
              <w:rPr>
                <w:b/>
                <w:bCs/>
                <w:rtl w:val="0"/>
              </w:rPr>
              <w:br/>
            </w:r>
            <w:r>
              <w:rPr>
                <w:b/>
                <w:bCs/>
                <w:rtl w:val="0"/>
              </w:rPr>
              <w:t>PHÓ TRƯỞNG THUẾ THÀNH PHỐ</w:t>
            </w:r>
            <w:r>
              <w:rPr>
                <w:b/>
                <w:bCs/>
                <w:rtl w:val="0"/>
              </w:rPr>
              <w:br/>
            </w:r>
            <w:r>
              <w:rPr>
                <w:b/>
                <w:bCs/>
                <w:rtl w:val="0"/>
              </w:rPr>
              <w:br/>
            </w:r>
            <w:r>
              <w:rPr>
                <w:b/>
                <w:bCs/>
                <w:rtl w:val="0"/>
              </w:rPr>
              <w:br/>
            </w:r>
            <w:r>
              <w:rPr>
                <w:b/>
                <w:bCs/>
                <w:rtl w:val="0"/>
              </w:rPr>
              <w:br/>
            </w:r>
            <w:r>
              <w:rPr>
                <w:b/>
                <w:bCs/>
                <w:rtl w:val="0"/>
              </w:rPr>
              <w:br/>
            </w:r>
            <w:r>
              <w:rPr>
                <w:b/>
                <w:bCs/>
                <w:rtl w:val="0"/>
              </w:rPr>
              <w:t>Nguyễn Việt Thống</w:t>
            </w:r>
          </w:p>
        </w:tc>
      </w:tr>
    </w:tbl>
    <w:p>
      <w:pPr>
        <w:bidi w:val="0"/>
        <w:spacing w:before="120" w:beforeAutospacing="0"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