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Ind w:w="10" w:type="dxa"/>
        <w:tblCellMar>
          <w:left w:w="10" w:type="dxa"/>
          <w:right w:w="10" w:type="dxa"/>
        </w:tblCellMar>
        <w:tblLook w:val="07E0" w:firstRow="1" w:lastRow="1" w:firstColumn="1" w:lastColumn="1" w:noHBand="1" w:noVBand="1"/>
      </w:tblPr>
      <w:tblGrid>
        <w:gridCol w:w="2959"/>
        <w:gridCol w:w="6061"/>
      </w:tblGrid>
      <w:tr w:rsidR="00531594" w:rsidRPr="003E1B65" w:rsidTr="00531594">
        <w:tc>
          <w:tcPr>
            <w:tcW w:w="1640" w:type="pct"/>
          </w:tcPr>
          <w:p w:rsidR="00CD151F" w:rsidRPr="003E1B65" w:rsidRDefault="004C5085" w:rsidP="00531594">
            <w:pPr>
              <w:jc w:val="center"/>
              <w:rPr>
                <w:rFonts w:ascii="Arial" w:hAnsi="Arial" w:cs="Arial"/>
                <w:sz w:val="20"/>
                <w:szCs w:val="20"/>
                <w:lang w:val="en-US"/>
              </w:rPr>
            </w:pPr>
            <w:r w:rsidRPr="003E1B65">
              <w:rPr>
                <w:rFonts w:ascii="Arial" w:hAnsi="Arial" w:cs="Arial"/>
                <w:sz w:val="20"/>
                <w:szCs w:val="20"/>
                <w:lang w:val="en-US"/>
              </w:rPr>
              <w:t>BỘ TÀI CHÍNH</w:t>
            </w:r>
          </w:p>
          <w:p w:rsidR="00531594" w:rsidRPr="003E1B65" w:rsidRDefault="004C5085" w:rsidP="00531594">
            <w:pPr>
              <w:jc w:val="center"/>
              <w:rPr>
                <w:rFonts w:ascii="Arial" w:hAnsi="Arial" w:cs="Arial"/>
                <w:sz w:val="20"/>
                <w:szCs w:val="20"/>
              </w:rPr>
            </w:pPr>
            <w:r w:rsidRPr="003E1B65">
              <w:rPr>
                <w:rFonts w:ascii="Arial" w:hAnsi="Arial" w:cs="Arial"/>
                <w:b/>
                <w:sz w:val="20"/>
                <w:szCs w:val="20"/>
                <w:lang w:val="en-US"/>
              </w:rPr>
              <w:t>CỤC THUẾ</w:t>
            </w:r>
            <w:r w:rsidR="00531594" w:rsidRPr="003E1B65">
              <w:rPr>
                <w:rFonts w:ascii="Arial" w:hAnsi="Arial" w:cs="Arial"/>
                <w:sz w:val="20"/>
                <w:szCs w:val="20"/>
              </w:rPr>
              <w:br/>
            </w:r>
            <w:r w:rsidR="00531594" w:rsidRPr="003E1B65">
              <w:rPr>
                <w:rFonts w:ascii="Arial" w:hAnsi="Arial" w:cs="Arial"/>
                <w:sz w:val="20"/>
                <w:szCs w:val="20"/>
                <w:vertAlign w:val="superscript"/>
              </w:rPr>
              <w:t>_______</w:t>
            </w:r>
          </w:p>
          <w:p w:rsidR="00531594" w:rsidRPr="003E1B65" w:rsidRDefault="00531594" w:rsidP="004C5085">
            <w:pPr>
              <w:jc w:val="center"/>
              <w:rPr>
                <w:rFonts w:ascii="Arial" w:hAnsi="Arial" w:cs="Arial"/>
                <w:sz w:val="20"/>
                <w:szCs w:val="20"/>
              </w:rPr>
            </w:pPr>
            <w:r w:rsidRPr="003E1B65">
              <w:rPr>
                <w:rFonts w:ascii="Arial" w:hAnsi="Arial" w:cs="Arial"/>
                <w:sz w:val="20"/>
                <w:szCs w:val="20"/>
              </w:rPr>
              <w:t xml:space="preserve">Số: </w:t>
            </w:r>
            <w:r w:rsidR="007D5A86" w:rsidRPr="003E1B65">
              <w:rPr>
                <w:rFonts w:ascii="Arial" w:hAnsi="Arial" w:cs="Arial"/>
                <w:sz w:val="20"/>
                <w:szCs w:val="20"/>
              </w:rPr>
              <w:t>106</w:t>
            </w:r>
            <w:r w:rsidR="00CF22E8" w:rsidRPr="003E1B65">
              <w:rPr>
                <w:rFonts w:ascii="Arial" w:hAnsi="Arial" w:cs="Arial"/>
                <w:sz w:val="20"/>
                <w:szCs w:val="20"/>
                <w:lang w:val="en-US"/>
              </w:rPr>
              <w:t>3</w:t>
            </w:r>
            <w:r w:rsidR="00C373BC" w:rsidRPr="003E1B65">
              <w:rPr>
                <w:rFonts w:ascii="Arial" w:hAnsi="Arial" w:cs="Arial"/>
                <w:sz w:val="20"/>
                <w:szCs w:val="20"/>
              </w:rPr>
              <w:t>/</w:t>
            </w:r>
            <w:r w:rsidR="004C5085" w:rsidRPr="003E1B65">
              <w:rPr>
                <w:rFonts w:ascii="Arial" w:hAnsi="Arial" w:cs="Arial"/>
                <w:sz w:val="20"/>
                <w:szCs w:val="20"/>
              </w:rPr>
              <w:t>CT</w:t>
            </w:r>
            <w:r w:rsidR="00556ED5" w:rsidRPr="003E1B65">
              <w:rPr>
                <w:rFonts w:ascii="Arial" w:hAnsi="Arial" w:cs="Arial"/>
                <w:sz w:val="20"/>
                <w:szCs w:val="20"/>
              </w:rPr>
              <w:t>-CS</w:t>
            </w:r>
          </w:p>
          <w:p w:rsidR="00556ED5" w:rsidRPr="003E1B65" w:rsidRDefault="007D5A86" w:rsidP="00CF22E8">
            <w:pPr>
              <w:jc w:val="center"/>
              <w:rPr>
                <w:rFonts w:ascii="Arial" w:hAnsi="Arial" w:cs="Arial"/>
                <w:sz w:val="20"/>
                <w:szCs w:val="20"/>
                <w:lang w:val="en-US"/>
              </w:rPr>
            </w:pPr>
            <w:r w:rsidRPr="003E1B65">
              <w:rPr>
                <w:rFonts w:ascii="Arial" w:hAnsi="Arial" w:cs="Arial"/>
                <w:sz w:val="20"/>
                <w:szCs w:val="20"/>
              </w:rPr>
              <w:t xml:space="preserve">V/v </w:t>
            </w:r>
            <w:r w:rsidR="00CF22E8" w:rsidRPr="003E1B65">
              <w:rPr>
                <w:rFonts w:ascii="Arial" w:hAnsi="Arial" w:cs="Arial"/>
                <w:sz w:val="20"/>
                <w:szCs w:val="20"/>
              </w:rPr>
              <w:t>chính sách t</w:t>
            </w:r>
            <w:r w:rsidR="00CF22E8" w:rsidRPr="003E1B65">
              <w:rPr>
                <w:rFonts w:ascii="Arial" w:hAnsi="Arial" w:cs="Arial"/>
                <w:sz w:val="20"/>
                <w:szCs w:val="20"/>
                <w:lang w:val="en-US"/>
              </w:rPr>
              <w:t>huế</w:t>
            </w:r>
          </w:p>
        </w:tc>
        <w:tc>
          <w:tcPr>
            <w:tcW w:w="3360" w:type="pct"/>
          </w:tcPr>
          <w:p w:rsidR="00531594" w:rsidRPr="003E1B65" w:rsidRDefault="00531594" w:rsidP="00531594">
            <w:pPr>
              <w:jc w:val="center"/>
              <w:rPr>
                <w:rFonts w:ascii="Arial" w:hAnsi="Arial" w:cs="Arial"/>
                <w:sz w:val="20"/>
                <w:szCs w:val="20"/>
              </w:rPr>
            </w:pPr>
            <w:r w:rsidRPr="003E1B65">
              <w:rPr>
                <w:rFonts w:ascii="Arial" w:hAnsi="Arial" w:cs="Arial"/>
                <w:b/>
                <w:sz w:val="20"/>
                <w:szCs w:val="20"/>
              </w:rPr>
              <w:t>CỘNG HÒA XÃ HỘI CHỦ NGHĨA VIỆT NAM</w:t>
            </w:r>
          </w:p>
          <w:p w:rsidR="00531594" w:rsidRPr="003E1B65" w:rsidRDefault="00531594" w:rsidP="007D5A86">
            <w:pPr>
              <w:jc w:val="center"/>
              <w:rPr>
                <w:rFonts w:ascii="Arial" w:hAnsi="Arial" w:cs="Arial"/>
                <w:sz w:val="20"/>
                <w:szCs w:val="20"/>
              </w:rPr>
            </w:pPr>
            <w:r w:rsidRPr="003E1B65">
              <w:rPr>
                <w:rFonts w:ascii="Arial" w:hAnsi="Arial" w:cs="Arial"/>
                <w:b/>
                <w:sz w:val="20"/>
                <w:szCs w:val="20"/>
              </w:rPr>
              <w:t>Độc lập – Tự do – Hạnh phúc</w:t>
            </w:r>
            <w:r w:rsidRPr="003E1B65">
              <w:rPr>
                <w:rFonts w:ascii="Arial" w:hAnsi="Arial" w:cs="Arial"/>
                <w:sz w:val="20"/>
                <w:szCs w:val="20"/>
              </w:rPr>
              <w:br/>
            </w:r>
            <w:r w:rsidRPr="003E1B65">
              <w:rPr>
                <w:rFonts w:ascii="Arial" w:hAnsi="Arial" w:cs="Arial"/>
                <w:sz w:val="20"/>
                <w:szCs w:val="20"/>
                <w:vertAlign w:val="superscript"/>
              </w:rPr>
              <w:t>_________________</w:t>
            </w:r>
            <w:r w:rsidRPr="003E1B65">
              <w:rPr>
                <w:rFonts w:ascii="Arial" w:hAnsi="Arial" w:cs="Arial"/>
                <w:sz w:val="20"/>
                <w:szCs w:val="20"/>
              </w:rPr>
              <w:br/>
            </w:r>
            <w:r w:rsidRPr="003E1B65">
              <w:rPr>
                <w:rFonts w:ascii="Arial" w:hAnsi="Arial" w:cs="Arial"/>
                <w:i/>
                <w:sz w:val="20"/>
                <w:szCs w:val="20"/>
              </w:rPr>
              <w:t xml:space="preserve">Hà Nội, ngày </w:t>
            </w:r>
            <w:r w:rsidR="007D5A86" w:rsidRPr="003E1B65">
              <w:rPr>
                <w:rFonts w:ascii="Arial" w:hAnsi="Arial" w:cs="Arial"/>
                <w:i/>
                <w:sz w:val="20"/>
                <w:szCs w:val="20"/>
              </w:rPr>
              <w:t>12</w:t>
            </w:r>
            <w:r w:rsidR="007C0848" w:rsidRPr="003E1B65">
              <w:rPr>
                <w:rFonts w:ascii="Arial" w:hAnsi="Arial" w:cs="Arial"/>
                <w:i/>
                <w:sz w:val="20"/>
                <w:szCs w:val="20"/>
              </w:rPr>
              <w:t xml:space="preserve"> </w:t>
            </w:r>
            <w:r w:rsidRPr="003E1B65">
              <w:rPr>
                <w:rFonts w:ascii="Arial" w:hAnsi="Arial" w:cs="Arial"/>
                <w:i/>
                <w:sz w:val="20"/>
                <w:szCs w:val="20"/>
              </w:rPr>
              <w:t xml:space="preserve">tháng </w:t>
            </w:r>
            <w:r w:rsidR="00556ED5" w:rsidRPr="003E1B65">
              <w:rPr>
                <w:rFonts w:ascii="Arial" w:hAnsi="Arial" w:cs="Arial"/>
                <w:i/>
                <w:sz w:val="20"/>
                <w:szCs w:val="20"/>
              </w:rPr>
              <w:t>02</w:t>
            </w:r>
            <w:r w:rsidRPr="003E1B65">
              <w:rPr>
                <w:rFonts w:ascii="Arial" w:hAnsi="Arial" w:cs="Arial"/>
                <w:i/>
                <w:sz w:val="20"/>
                <w:szCs w:val="20"/>
              </w:rPr>
              <w:t xml:space="preserve"> năm 2026</w:t>
            </w:r>
          </w:p>
        </w:tc>
      </w:tr>
    </w:tbl>
    <w:p w:rsidR="00531594" w:rsidRPr="003E1B65" w:rsidRDefault="00531594" w:rsidP="00531594">
      <w:pPr>
        <w:pStyle w:val="Vnbnnidung0"/>
        <w:spacing w:after="0"/>
        <w:ind w:firstLine="0"/>
        <w:jc w:val="center"/>
        <w:rPr>
          <w:rFonts w:ascii="Arial" w:hAnsi="Arial" w:cs="Arial"/>
          <w:b/>
          <w:bCs/>
          <w:sz w:val="20"/>
          <w:szCs w:val="20"/>
        </w:rPr>
      </w:pPr>
    </w:p>
    <w:p w:rsidR="001637DB" w:rsidRPr="003E1B65" w:rsidRDefault="001637DB" w:rsidP="00531594">
      <w:pPr>
        <w:pStyle w:val="Vnbnnidung0"/>
        <w:spacing w:after="0"/>
        <w:ind w:firstLine="0"/>
        <w:jc w:val="center"/>
        <w:rPr>
          <w:rFonts w:ascii="Arial" w:hAnsi="Arial" w:cs="Arial"/>
          <w:sz w:val="20"/>
          <w:szCs w:val="20"/>
        </w:rPr>
      </w:pPr>
    </w:p>
    <w:p w:rsidR="00CF22E8" w:rsidRPr="003E1B65" w:rsidRDefault="005A1E06" w:rsidP="00285579">
      <w:pPr>
        <w:pStyle w:val="Vnbnnidung0"/>
        <w:spacing w:after="0"/>
        <w:ind w:firstLine="0"/>
        <w:jc w:val="center"/>
        <w:rPr>
          <w:rFonts w:ascii="Arial" w:hAnsi="Arial" w:cs="Arial"/>
          <w:sz w:val="20"/>
          <w:szCs w:val="20"/>
        </w:rPr>
      </w:pPr>
      <w:r w:rsidRPr="003E1B65">
        <w:rPr>
          <w:rFonts w:ascii="Arial" w:hAnsi="Arial" w:cs="Arial"/>
          <w:sz w:val="20"/>
          <w:szCs w:val="20"/>
        </w:rPr>
        <w:t xml:space="preserve">Kính gửi: </w:t>
      </w:r>
      <w:r w:rsidR="00CF22E8" w:rsidRPr="003E1B65">
        <w:rPr>
          <w:rFonts w:ascii="Arial" w:hAnsi="Arial" w:cs="Arial"/>
          <w:sz w:val="20"/>
          <w:szCs w:val="20"/>
        </w:rPr>
        <w:t xml:space="preserve">Công ty TNHH Truyền hình số Vệ tinh Việt Nam. </w:t>
      </w:r>
    </w:p>
    <w:p w:rsidR="005A1E06" w:rsidRPr="003E1B65" w:rsidRDefault="00CF22E8" w:rsidP="00285579">
      <w:pPr>
        <w:pStyle w:val="Vnbnnidung0"/>
        <w:spacing w:after="0"/>
        <w:ind w:firstLine="0"/>
        <w:jc w:val="center"/>
        <w:rPr>
          <w:rFonts w:ascii="Arial" w:hAnsi="Arial" w:cs="Arial"/>
          <w:i/>
          <w:sz w:val="20"/>
          <w:szCs w:val="20"/>
        </w:rPr>
      </w:pPr>
      <w:r w:rsidRPr="003E1B65">
        <w:rPr>
          <w:rFonts w:ascii="Arial" w:hAnsi="Arial" w:cs="Arial"/>
          <w:i/>
          <w:sz w:val="20"/>
          <w:szCs w:val="20"/>
        </w:rPr>
        <w:t>(Địa chỉ: Tầng 15 Tháp A Tòa nhà Handi Resco số 521 Kim Mã</w:t>
      </w:r>
      <w:r w:rsidRPr="003E1B65">
        <w:rPr>
          <w:rFonts w:ascii="Arial" w:hAnsi="Arial" w:cs="Arial"/>
          <w:i/>
          <w:sz w:val="20"/>
          <w:szCs w:val="20"/>
        </w:rPr>
        <w:t>,</w:t>
      </w:r>
      <w:r w:rsidRPr="003E1B65">
        <w:rPr>
          <w:rFonts w:ascii="Arial" w:hAnsi="Arial" w:cs="Arial"/>
          <w:i/>
          <w:sz w:val="20"/>
          <w:szCs w:val="20"/>
        </w:rPr>
        <w:t xml:space="preserve"> phường Giảng Võ, TP. Hà Nội)</w:t>
      </w:r>
    </w:p>
    <w:p w:rsidR="005A1E06" w:rsidRPr="003E1B65" w:rsidRDefault="005A1E06" w:rsidP="00531594">
      <w:pPr>
        <w:pStyle w:val="Vnbnnidung0"/>
        <w:spacing w:after="0"/>
        <w:ind w:firstLine="0"/>
        <w:jc w:val="center"/>
        <w:rPr>
          <w:rFonts w:ascii="Arial" w:hAnsi="Arial" w:cs="Arial"/>
          <w:sz w:val="20"/>
          <w:szCs w:val="20"/>
        </w:rPr>
      </w:pP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Cục Thuế nhận được công văn số 228/2025/VSTV ngày 23/5/2025 và công văn số 469/2025/VSTV ngày 4/11/2025 của Công ty TNHH Truyền hình số Vệ t</w:t>
      </w:r>
      <w:r w:rsidRPr="003E1B65">
        <w:rPr>
          <w:rFonts w:ascii="Arial" w:hAnsi="Arial" w:cs="Arial"/>
          <w:sz w:val="20"/>
          <w:szCs w:val="20"/>
        </w:rPr>
        <w:t>i</w:t>
      </w:r>
      <w:r w:rsidRPr="003E1B65">
        <w:rPr>
          <w:rFonts w:ascii="Arial" w:hAnsi="Arial" w:cs="Arial"/>
          <w:sz w:val="20"/>
          <w:szCs w:val="20"/>
        </w:rPr>
        <w:t xml:space="preserve">nh Việt Nam (VSTV) đề nghị hướng dẫn về chính sách thuế nhà thầu. Về vấn đề này, Cục Thuế có ý kiến như sau: </w:t>
      </w:r>
    </w:p>
    <w:p w:rsidR="00CF22E8" w:rsidRPr="003E1B65" w:rsidRDefault="00CF22E8" w:rsidP="00CF22E8">
      <w:pPr>
        <w:pStyle w:val="Vnbnnidung0"/>
        <w:spacing w:after="120"/>
        <w:ind w:firstLine="720"/>
        <w:jc w:val="both"/>
        <w:rPr>
          <w:rFonts w:ascii="Arial" w:hAnsi="Arial" w:cs="Arial"/>
          <w:b/>
          <w:sz w:val="20"/>
          <w:szCs w:val="20"/>
        </w:rPr>
      </w:pPr>
      <w:r w:rsidRPr="003E1B65">
        <w:rPr>
          <w:rFonts w:ascii="Arial" w:hAnsi="Arial" w:cs="Arial"/>
          <w:b/>
          <w:sz w:val="20"/>
          <w:szCs w:val="20"/>
        </w:rPr>
        <w:t xml:space="preserve">1. Về việc xác định nghĩa vụ thuế đối với Công ty VSTV: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 xml:space="preserve">* Về Thuế thu nhập doanh nghiệp (TNDN):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 Căn cứ khoản 1 Điều 8 Nghị định số 218/2013/NĐ-CP ngày 26/12/2013 của Chính phủ quy định chi tiết và hướng dẫn thi hành Luật Thuế thu nhập doanh nghiệp hướng dẫn về việc xác định doanh thu để tính thu nhập chịu thuế;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Căn cứ Điều 4 Thông tư 96/2015/TT-BTC ngày 22/6/2015 của Bộ Tài chính sửa đ</w:t>
      </w:r>
      <w:r w:rsidRPr="003E1B65">
        <w:rPr>
          <w:rFonts w:ascii="Arial" w:hAnsi="Arial" w:cs="Arial"/>
          <w:sz w:val="20"/>
          <w:szCs w:val="20"/>
        </w:rPr>
        <w:t>ổ</w:t>
      </w:r>
      <w:r w:rsidRPr="003E1B65">
        <w:rPr>
          <w:rFonts w:ascii="Arial" w:hAnsi="Arial" w:cs="Arial"/>
          <w:sz w:val="20"/>
          <w:szCs w:val="20"/>
        </w:rPr>
        <w:t xml:space="preserve">i, bổ sung Điều 6 Thông tư 78/2014/TT-BTC hướng dẫn về các khoản chi được trừ và không được trừ khi xác định thu nhập chịu thuế;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C</w:t>
      </w:r>
      <w:r w:rsidR="003E1B65" w:rsidRPr="003E1B65">
        <w:rPr>
          <w:rFonts w:ascii="Arial" w:hAnsi="Arial" w:cs="Arial"/>
          <w:sz w:val="20"/>
          <w:szCs w:val="20"/>
        </w:rPr>
        <w:t>ă</w:t>
      </w:r>
      <w:r w:rsidRPr="003E1B65">
        <w:rPr>
          <w:rFonts w:ascii="Arial" w:hAnsi="Arial" w:cs="Arial"/>
          <w:sz w:val="20"/>
          <w:szCs w:val="20"/>
        </w:rPr>
        <w:t xml:space="preserve">n cứ quy định nêu trên, Công ty ghi nhận doanh thu để tính thu nhập chịu thuế là toàn bộ tiền bán hàng, tiền gia công, tiền cung ứng dịch vụ kể cả trợ giá, phụ thu, phụ trội mà doanh nghiệp được hưởng, không phân biệt đã thu được tiền hay chưa thu được tiền. Trường hợp Công ty trích thù lao cho Apple có liên quan tới hoạt động sản xuất, kinh doanh của Công ty và có hóa </w:t>
      </w:r>
      <w:r w:rsidR="003E1B65" w:rsidRPr="003E1B65">
        <w:rPr>
          <w:rFonts w:ascii="Arial" w:hAnsi="Arial" w:cs="Arial"/>
          <w:sz w:val="20"/>
          <w:szCs w:val="20"/>
        </w:rPr>
        <w:t>đ</w:t>
      </w:r>
      <w:r w:rsidRPr="003E1B65">
        <w:rPr>
          <w:rFonts w:ascii="Arial" w:hAnsi="Arial" w:cs="Arial"/>
          <w:sz w:val="20"/>
          <w:szCs w:val="20"/>
        </w:rPr>
        <w:t>ơn, chứng từ đầy đủ theo quy định của pháp luật thì Công ty được ghi nhận vào ch</w:t>
      </w:r>
      <w:r w:rsidR="003E1B65" w:rsidRPr="003E1B65">
        <w:rPr>
          <w:rFonts w:ascii="Arial" w:hAnsi="Arial" w:cs="Arial"/>
          <w:sz w:val="20"/>
          <w:szCs w:val="20"/>
        </w:rPr>
        <w:t>i</w:t>
      </w:r>
      <w:r w:rsidRPr="003E1B65">
        <w:rPr>
          <w:rFonts w:ascii="Arial" w:hAnsi="Arial" w:cs="Arial"/>
          <w:sz w:val="20"/>
          <w:szCs w:val="20"/>
        </w:rPr>
        <w:t xml:space="preserve"> phí được trừ khi xác định thu nhập chịu thuế theo Điều 4 Thông tư 96/2015/TT</w:t>
      </w:r>
      <w:r w:rsidRPr="003E1B65">
        <w:rPr>
          <w:rFonts w:ascii="Arial" w:hAnsi="Arial" w:cs="Arial"/>
          <w:sz w:val="20"/>
          <w:szCs w:val="20"/>
        </w:rPr>
        <w:t>-</w:t>
      </w:r>
      <w:r w:rsidRPr="003E1B65">
        <w:rPr>
          <w:rFonts w:ascii="Arial" w:hAnsi="Arial" w:cs="Arial"/>
          <w:sz w:val="20"/>
          <w:szCs w:val="20"/>
        </w:rPr>
        <w:t xml:space="preserve">BTC.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 xml:space="preserve">* Về Thuế giá trị gia tăng (GTGT):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Điều 7 Thông tư số 219/2013/TT-BTC ngày 31/12/2013 của Bộ Tài chính hướng dẫn về giá tính thuế;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quy định nêu trên, trường hợp Công ty VSTV cung cấp dịch vụ truyền hình tại Việt Nam thì giá tính thuế GTGT thực hiện theo hướng dẫn tại Điều 7 Thông tư 219/2013/TT-BTC ngày 31/12/2013 của Bộ Tài chính.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Trường hợp VSTV cung cấp gói cước truyền hình cho người mua ở Việt Nam th</w:t>
      </w:r>
      <w:r w:rsidR="003E1B65" w:rsidRPr="003E1B65">
        <w:rPr>
          <w:rFonts w:ascii="Arial" w:hAnsi="Arial" w:cs="Arial"/>
          <w:sz w:val="20"/>
          <w:szCs w:val="20"/>
        </w:rPr>
        <w:t>ì</w:t>
      </w:r>
      <w:r w:rsidRPr="003E1B65">
        <w:rPr>
          <w:rFonts w:ascii="Arial" w:hAnsi="Arial" w:cs="Arial"/>
          <w:sz w:val="20"/>
          <w:szCs w:val="20"/>
        </w:rPr>
        <w:t xml:space="preserve"> VSTV thực hiện lập hóa đơn giao cho người mua, kê khai và nộp thuế theo quy định.</w:t>
      </w:r>
      <w:r w:rsidRPr="003E1B65">
        <w:rPr>
          <w:rFonts w:ascii="Arial" w:hAnsi="Arial" w:cs="Arial"/>
          <w:sz w:val="20"/>
          <w:szCs w:val="20"/>
        </w:rPr>
        <w:t xml:space="preserve">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Trường hợp VSTV có thỏa thuận với Apple về việc ủy quyền cho Apple thu hộ gói cước truyền hình thì VSTV ghi nhận toàn bộ số tiền mà Apple thu hộ là doanh thu của VSTV và thực hiện lập hóa đơn GTGT cho khách hàng và kê khai, nộp thuế GTGT theo quy định.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Từ ngày 1/7/2025, Công ty VSTV thực hiện chính sách thuế GTGT theo quy định của Luật Thuế GTGT số 48/2024/QH15 và các văn bản hướng dẫn thi hành.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Từ ngày 1/10/2025, Công ty VSTV thực hiện chính sách thuế TNDN theo quy định của Luật Thuế TNDN số 67/2025/QH15 và các văn bản hướng dẫn thi hành, áp dụng từ kỳ tính thuế năm 2025. </w:t>
      </w:r>
    </w:p>
    <w:p w:rsidR="00CF22E8" w:rsidRPr="003E1B65" w:rsidRDefault="00CF22E8" w:rsidP="00CF22E8">
      <w:pPr>
        <w:pStyle w:val="Vnbnnidung0"/>
        <w:spacing w:after="120"/>
        <w:ind w:firstLine="720"/>
        <w:jc w:val="both"/>
        <w:rPr>
          <w:rFonts w:ascii="Arial" w:hAnsi="Arial" w:cs="Arial"/>
          <w:b/>
          <w:sz w:val="20"/>
          <w:szCs w:val="20"/>
        </w:rPr>
      </w:pPr>
      <w:r w:rsidRPr="003E1B65">
        <w:rPr>
          <w:rFonts w:ascii="Arial" w:hAnsi="Arial" w:cs="Arial"/>
          <w:b/>
          <w:sz w:val="20"/>
          <w:szCs w:val="20"/>
        </w:rPr>
        <w:t xml:space="preserve">2. Về việc xác định nghĩa vụ thuế đối với nhà cung cấp nước ngoài Apple: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b/>
          <w:i/>
          <w:sz w:val="20"/>
          <w:szCs w:val="20"/>
        </w:rPr>
        <w:t>2.1. Quy định tại Thông tư 80/2021/TT-BTC ngày 29/9/2021 của Bộ Tài chính và Thông tư số 103/2014/TT-BTC ngày 6/8/2014 của Bộ Tài chính:</w:t>
      </w:r>
      <w:r w:rsidRPr="003E1B65">
        <w:rPr>
          <w:rFonts w:ascii="Arial" w:hAnsi="Arial" w:cs="Arial"/>
          <w:i/>
          <w:sz w:val="20"/>
          <w:szCs w:val="20"/>
        </w:rPr>
        <w:t xml:space="preserve">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Căn cứ Điều 77 Thông tư số 80/2021/TT-BTC ngày 29/9/2021 của Bộ Tài chính hướng dẫn thi hành một số điều của Luật Quản lý thuế và Nghị định 126/NĐ-CP ngày 19/10/2020 của Chính phủ quy định chi tiết một số điều của Luật Quản lý thu</w:t>
      </w:r>
      <w:r w:rsidRPr="003E1B65">
        <w:rPr>
          <w:rFonts w:ascii="Arial" w:hAnsi="Arial" w:cs="Arial"/>
          <w:sz w:val="20"/>
          <w:szCs w:val="20"/>
        </w:rPr>
        <w:t>ế</w:t>
      </w:r>
      <w:r w:rsidRPr="003E1B65">
        <w:rPr>
          <w:rFonts w:ascii="Arial" w:hAnsi="Arial" w:cs="Arial"/>
          <w:sz w:val="20"/>
          <w:szCs w:val="20"/>
        </w:rPr>
        <w:t xml:space="preserve">: </w:t>
      </w:r>
    </w:p>
    <w:p w:rsidR="00CF22E8" w:rsidRPr="003E1B65" w:rsidRDefault="00CF22E8" w:rsidP="00CF22E8">
      <w:pPr>
        <w:pStyle w:val="Vnbnnidung0"/>
        <w:spacing w:after="120"/>
        <w:ind w:firstLine="720"/>
        <w:jc w:val="both"/>
        <w:rPr>
          <w:rFonts w:ascii="Arial" w:hAnsi="Arial" w:cs="Arial"/>
          <w:b/>
          <w:i/>
          <w:sz w:val="20"/>
          <w:szCs w:val="20"/>
        </w:rPr>
      </w:pPr>
      <w:r w:rsidRPr="003E1B65">
        <w:rPr>
          <w:rFonts w:ascii="Arial" w:hAnsi="Arial" w:cs="Arial"/>
          <w:b/>
          <w:i/>
          <w:sz w:val="20"/>
          <w:szCs w:val="20"/>
        </w:rPr>
        <w:t xml:space="preserve">“Điều 77. Khai thuế, tính thuế trực tiếp của nhà cung cấp ở nước ngoài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 xml:space="preserve">1. Nhà cung cấp ở nước ngoài thực hiện khai thuế trực tiếp tại Cổng thông tin điện tử của Tổng cục Thuế, sử dụng mã xác thực giao dịch điện từ do cơ quan thuế quản lý cấp qua Cổng Thông tin điện </w:t>
      </w:r>
      <w:r w:rsidRPr="003E1B65">
        <w:rPr>
          <w:rFonts w:ascii="Arial" w:hAnsi="Arial" w:cs="Arial"/>
          <w:i/>
          <w:sz w:val="20"/>
          <w:szCs w:val="20"/>
        </w:rPr>
        <w:lastRenderedPageBreak/>
        <w:t>từ của Tổng cục Thuế và gửi hồ sơ khai thu</w:t>
      </w:r>
      <w:r w:rsidRPr="003E1B65">
        <w:rPr>
          <w:rFonts w:ascii="Arial" w:hAnsi="Arial" w:cs="Arial"/>
          <w:i/>
          <w:sz w:val="20"/>
          <w:szCs w:val="20"/>
        </w:rPr>
        <w:t>ế</w:t>
      </w:r>
      <w:r w:rsidRPr="003E1B65">
        <w:rPr>
          <w:rFonts w:ascii="Arial" w:hAnsi="Arial" w:cs="Arial"/>
          <w:i/>
          <w:sz w:val="20"/>
          <w:szCs w:val="20"/>
        </w:rPr>
        <w:t xml:space="preserve"> điện từ cho cơ quan thuế quản lý trực tiếp, như sau: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c) Nhà cung cấp ở nước ngoài nộp thuế giá trị gia tăng, thuế thu nhập doanh nghiệp theo phương pháp tỷ lệ tính trên doanh th</w:t>
      </w:r>
      <w:r w:rsidRPr="003E1B65">
        <w:rPr>
          <w:rFonts w:ascii="Arial" w:hAnsi="Arial" w:cs="Arial"/>
          <w:i/>
          <w:sz w:val="20"/>
          <w:szCs w:val="20"/>
        </w:rPr>
        <w:t>u</w:t>
      </w:r>
      <w:r w:rsidRPr="003E1B65">
        <w:rPr>
          <w:rFonts w:ascii="Arial" w:hAnsi="Arial" w:cs="Arial"/>
          <w:i/>
          <w:sz w:val="20"/>
          <w:szCs w:val="20"/>
        </w:rPr>
        <w:t xml:space="preserve">.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 xml:space="preserve">c.1) Doanh thu tính thuế giá trị gia tăng là doanh thu mà nhà cung cấp ở nước ngoài nhận được.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c.2) Doanh thu tính thuế thu nhập doanh nghiệp là doanh thu mà nhà cun</w:t>
      </w:r>
      <w:r w:rsidRPr="003E1B65">
        <w:rPr>
          <w:rFonts w:ascii="Arial" w:hAnsi="Arial" w:cs="Arial"/>
          <w:i/>
          <w:sz w:val="20"/>
          <w:szCs w:val="20"/>
        </w:rPr>
        <w:t>g cấp ở nước ngoài nhận được...”</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 </w:t>
      </w:r>
      <w:r w:rsidRPr="003E1B65">
        <w:rPr>
          <w:rFonts w:ascii="Arial" w:hAnsi="Arial" w:cs="Arial"/>
          <w:sz w:val="20"/>
          <w:szCs w:val="20"/>
        </w:rPr>
        <w:t xml:space="preserve">Căn cứ Điều 12 và Điều 13 Thông tư số 103/2014/TT-BTC ngày 6/8/2014 của Bộ Tài chính hướng dẫn thực hiện nghĩa vụ thuế áp dụng đối với tổ chức, cá nhân nước ngoài kinh doanh tại Việt Nam hoặc có thu nhập tại Việt Nam;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Căn cứ các quy định nêu trên, trường hợp nhà cung cấp nước ngoài Apple có phát sinh thu nhập tại Việt Nam bằng cách cung cấp dịch vụ thu hộ tiền từ các khách hàng mua gói cước K+ của Công ty VSTV và nhận 15% ti</w:t>
      </w:r>
      <w:r w:rsidR="003E1B65" w:rsidRPr="003E1B65">
        <w:rPr>
          <w:rFonts w:ascii="Arial" w:hAnsi="Arial" w:cs="Arial"/>
          <w:sz w:val="20"/>
          <w:szCs w:val="20"/>
        </w:rPr>
        <w:t>ề</w:t>
      </w:r>
      <w:r w:rsidRPr="003E1B65">
        <w:rPr>
          <w:rFonts w:ascii="Arial" w:hAnsi="Arial" w:cs="Arial"/>
          <w:sz w:val="20"/>
          <w:szCs w:val="20"/>
        </w:rPr>
        <w:t>n thù lao trên giá bán của gói cước theo thỏa thuận với VSTV thì Apple thực hiện kê khai</w:t>
      </w:r>
      <w:r w:rsidRPr="003E1B65">
        <w:rPr>
          <w:rFonts w:ascii="Arial" w:hAnsi="Arial" w:cs="Arial"/>
          <w:sz w:val="20"/>
          <w:szCs w:val="20"/>
        </w:rPr>
        <w:t xml:space="preserve"> </w:t>
      </w:r>
      <w:r w:rsidRPr="003E1B65">
        <w:rPr>
          <w:rFonts w:ascii="Arial" w:hAnsi="Arial" w:cs="Arial"/>
          <w:sz w:val="20"/>
          <w:szCs w:val="20"/>
        </w:rPr>
        <w:t>và nộp thuế GTGT và thuế TNDN đối với nhà cung cấp nước ngoài theo phương pháp tỷ lệ tính trên doanh thu đối với khoản ti</w:t>
      </w:r>
      <w:r w:rsidRPr="003E1B65">
        <w:rPr>
          <w:rFonts w:ascii="Arial" w:hAnsi="Arial" w:cs="Arial"/>
          <w:sz w:val="20"/>
          <w:szCs w:val="20"/>
        </w:rPr>
        <w:t>ề</w:t>
      </w:r>
      <w:r w:rsidRPr="003E1B65">
        <w:rPr>
          <w:rFonts w:ascii="Arial" w:hAnsi="Arial" w:cs="Arial"/>
          <w:sz w:val="20"/>
          <w:szCs w:val="20"/>
        </w:rPr>
        <w:t xml:space="preserve">n mà Apple nhận được theo quy định tại Điều 77 Thông tư 80/2021/TT-BTC và Điều 12, Điều 13 Thông tư số 103/2014/TT-BTC. </w:t>
      </w:r>
    </w:p>
    <w:p w:rsidR="00CF22E8" w:rsidRPr="003E1B65" w:rsidRDefault="00CF22E8" w:rsidP="00CF22E8">
      <w:pPr>
        <w:pStyle w:val="Vnbnnidung0"/>
        <w:spacing w:after="120"/>
        <w:ind w:firstLine="720"/>
        <w:jc w:val="both"/>
        <w:rPr>
          <w:rFonts w:ascii="Arial" w:hAnsi="Arial" w:cs="Arial"/>
          <w:b/>
          <w:i/>
          <w:sz w:val="20"/>
          <w:szCs w:val="20"/>
        </w:rPr>
      </w:pPr>
      <w:r w:rsidRPr="003E1B65">
        <w:rPr>
          <w:rFonts w:ascii="Arial" w:hAnsi="Arial" w:cs="Arial"/>
          <w:b/>
          <w:i/>
          <w:sz w:val="20"/>
          <w:szCs w:val="20"/>
        </w:rPr>
        <w:t xml:space="preserve">2.2. Quy định tại Luật Thuế GTGT có hiệu lực thi hành từ 1/7/2025: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khoản 4 Điều 4 Luật Thuế GTGT số 48/2024/QH15 quy định về người nộp thuế như sau: </w:t>
      </w:r>
    </w:p>
    <w:p w:rsidR="00CF22E8" w:rsidRPr="003E1B65" w:rsidRDefault="00CF22E8" w:rsidP="00CF22E8">
      <w:pPr>
        <w:pStyle w:val="Vnbnnidung0"/>
        <w:spacing w:after="120"/>
        <w:ind w:firstLine="720"/>
        <w:jc w:val="both"/>
        <w:rPr>
          <w:rFonts w:ascii="Arial" w:hAnsi="Arial" w:cs="Arial"/>
          <w:b/>
          <w:i/>
          <w:sz w:val="20"/>
          <w:szCs w:val="20"/>
        </w:rPr>
      </w:pPr>
      <w:r w:rsidRPr="003E1B65">
        <w:rPr>
          <w:rFonts w:ascii="Arial" w:hAnsi="Arial" w:cs="Arial"/>
          <w:b/>
          <w:i/>
          <w:sz w:val="20"/>
          <w:szCs w:val="20"/>
        </w:rPr>
        <w:t>"Điều 4. Người nộp thu</w:t>
      </w:r>
      <w:r w:rsidRPr="003E1B65">
        <w:rPr>
          <w:rFonts w:ascii="Arial" w:hAnsi="Arial" w:cs="Arial"/>
          <w:b/>
          <w:i/>
          <w:sz w:val="20"/>
          <w:szCs w:val="20"/>
        </w:rPr>
        <w:t>ế</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i/>
          <w:sz w:val="20"/>
          <w:szCs w:val="20"/>
        </w:rPr>
        <w:t xml:space="preserve">4. Nhà cung cấp nước ngoài không có cơ sở thường trú tại Việt Nam có hoạt động kinh doanh thương mại điện tử, kinh doanh dựa trên nền tảng số với tổ chức, cá nhân tại Việt Nam (sau đây gọi là nhà cung cấp nước ngoài): </w:t>
      </w:r>
      <w:r w:rsidRPr="003E1B65">
        <w:rPr>
          <w:rFonts w:ascii="Arial" w:hAnsi="Arial" w:cs="Arial"/>
          <w:i/>
          <w:sz w:val="20"/>
          <w:szCs w:val="20"/>
        </w:rPr>
        <w:t xml:space="preserve">tổ </w:t>
      </w:r>
      <w:r w:rsidRPr="003E1B65">
        <w:rPr>
          <w:rFonts w:ascii="Arial" w:hAnsi="Arial" w:cs="Arial"/>
          <w:i/>
          <w:sz w:val="20"/>
          <w:szCs w:val="20"/>
        </w:rPr>
        <w:t>chức là nhà quản lý nền tảng số nước ngoài thực hiện kh</w:t>
      </w:r>
      <w:r w:rsidR="003E1B65" w:rsidRPr="003E1B65">
        <w:rPr>
          <w:rFonts w:ascii="Arial" w:hAnsi="Arial" w:cs="Arial"/>
          <w:i/>
          <w:sz w:val="20"/>
          <w:szCs w:val="20"/>
        </w:rPr>
        <w:t>ấ</w:t>
      </w:r>
      <w:r w:rsidRPr="003E1B65">
        <w:rPr>
          <w:rFonts w:ascii="Arial" w:hAnsi="Arial" w:cs="Arial"/>
          <w:i/>
          <w:sz w:val="20"/>
          <w:szCs w:val="20"/>
        </w:rPr>
        <w:t>u trừ, nộp thay nghĩa vụ thuế phải nộp của nhà cung c</w:t>
      </w:r>
      <w:r w:rsidRPr="003E1B65">
        <w:rPr>
          <w:rFonts w:ascii="Arial" w:hAnsi="Arial" w:cs="Arial"/>
          <w:i/>
          <w:sz w:val="20"/>
          <w:szCs w:val="20"/>
        </w:rPr>
        <w:t>ấ</w:t>
      </w:r>
      <w:r w:rsidRPr="003E1B65">
        <w:rPr>
          <w:rFonts w:ascii="Arial" w:hAnsi="Arial" w:cs="Arial"/>
          <w:i/>
          <w:sz w:val="20"/>
          <w:szCs w:val="20"/>
        </w:rPr>
        <w:t>p nước ngoài; tổ chức kinh doanh tại Việt Nam áp dụng phương pháp tính thuế giá trị gia tăng là phương pháp kh</w:t>
      </w:r>
      <w:r w:rsidR="003E1B65" w:rsidRPr="003E1B65">
        <w:rPr>
          <w:rFonts w:ascii="Arial" w:hAnsi="Arial" w:cs="Arial"/>
          <w:i/>
          <w:sz w:val="20"/>
          <w:szCs w:val="20"/>
        </w:rPr>
        <w:t>ấ</w:t>
      </w:r>
      <w:r w:rsidRPr="003E1B65">
        <w:rPr>
          <w:rFonts w:ascii="Arial" w:hAnsi="Arial" w:cs="Arial"/>
          <w:i/>
          <w:sz w:val="20"/>
          <w:szCs w:val="20"/>
        </w:rPr>
        <w:t>u trừ thu</w:t>
      </w:r>
      <w:r w:rsidR="003E1B65" w:rsidRPr="003E1B65">
        <w:rPr>
          <w:rFonts w:ascii="Arial" w:hAnsi="Arial" w:cs="Arial"/>
          <w:i/>
          <w:sz w:val="20"/>
          <w:szCs w:val="20"/>
        </w:rPr>
        <w:t>ế</w:t>
      </w:r>
      <w:r w:rsidRPr="003E1B65">
        <w:rPr>
          <w:rFonts w:ascii="Arial" w:hAnsi="Arial" w:cs="Arial"/>
          <w:i/>
          <w:sz w:val="20"/>
          <w:szCs w:val="20"/>
        </w:rPr>
        <w:t xml:space="preserve"> mua </w:t>
      </w:r>
      <w:r w:rsidR="003E1B65" w:rsidRPr="003E1B65">
        <w:rPr>
          <w:rFonts w:ascii="Arial" w:hAnsi="Arial" w:cs="Arial"/>
          <w:i/>
          <w:sz w:val="20"/>
          <w:szCs w:val="20"/>
        </w:rPr>
        <w:t>d</w:t>
      </w:r>
      <w:r w:rsidRPr="003E1B65">
        <w:rPr>
          <w:rFonts w:ascii="Arial" w:hAnsi="Arial" w:cs="Arial"/>
          <w:i/>
          <w:sz w:val="20"/>
          <w:szCs w:val="20"/>
        </w:rPr>
        <w:t xml:space="preserve">ịch vụ của nhà cung cấp nước ngoài không có cơ sở thường trú tại Việt Nam thông qua kênh thương mại điện tử hoặc các nền tảng số thực </w:t>
      </w:r>
      <w:r w:rsidRPr="003E1B65">
        <w:rPr>
          <w:rFonts w:ascii="Arial" w:hAnsi="Arial" w:cs="Arial"/>
          <w:sz w:val="20"/>
          <w:szCs w:val="20"/>
        </w:rPr>
        <w:t>hiện kh</w:t>
      </w:r>
      <w:r w:rsidR="003E1B65" w:rsidRPr="003E1B65">
        <w:rPr>
          <w:rFonts w:ascii="Arial" w:hAnsi="Arial" w:cs="Arial"/>
          <w:sz w:val="20"/>
          <w:szCs w:val="20"/>
        </w:rPr>
        <w:t>ấ</w:t>
      </w:r>
      <w:r w:rsidRPr="003E1B65">
        <w:rPr>
          <w:rFonts w:ascii="Arial" w:hAnsi="Arial" w:cs="Arial"/>
          <w:sz w:val="20"/>
          <w:szCs w:val="20"/>
        </w:rPr>
        <w:t xml:space="preserve">u trừ, nộp thay nghĩa vụ thuế phải </w:t>
      </w:r>
      <w:r w:rsidRPr="003E1B65">
        <w:rPr>
          <w:rFonts w:ascii="Arial" w:hAnsi="Arial" w:cs="Arial"/>
          <w:sz w:val="20"/>
          <w:szCs w:val="20"/>
        </w:rPr>
        <w:t>nộp của nhà cung cấp nước ngoài</w:t>
      </w:r>
      <w:r w:rsidRPr="003E1B65">
        <w:rPr>
          <w:rFonts w:ascii="Arial" w:hAnsi="Arial" w:cs="Arial"/>
          <w:sz w:val="20"/>
          <w:szCs w:val="20"/>
        </w:rPr>
        <w:t xml:space="preserve">".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khoản 3 Điều 9 Luật Thuế GTGT số 48/2024/QH15 quy định về thuế suất như sau: </w:t>
      </w:r>
    </w:p>
    <w:p w:rsidR="00CF22E8" w:rsidRPr="003E1B65" w:rsidRDefault="00CF22E8" w:rsidP="00CF22E8">
      <w:pPr>
        <w:pStyle w:val="Vnbnnidung0"/>
        <w:spacing w:after="120"/>
        <w:ind w:firstLine="720"/>
        <w:jc w:val="both"/>
        <w:rPr>
          <w:rFonts w:ascii="Arial" w:hAnsi="Arial" w:cs="Arial"/>
          <w:b/>
          <w:i/>
          <w:sz w:val="20"/>
          <w:szCs w:val="20"/>
        </w:rPr>
      </w:pPr>
      <w:r w:rsidRPr="003E1B65">
        <w:rPr>
          <w:rFonts w:ascii="Arial" w:hAnsi="Arial" w:cs="Arial"/>
          <w:b/>
          <w:i/>
          <w:sz w:val="20"/>
          <w:szCs w:val="20"/>
        </w:rPr>
        <w:t xml:space="preserve">“Điều 9. Thuế suất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3. Mức thuế suất 10% áp dụng đối với hàng hóa, dịch vụ không quy định tại khoản 1 và khoản 2 Điều này, bao gồm cả dịch vụ được các nhà cung c</w:t>
      </w:r>
      <w:r w:rsidRPr="003E1B65">
        <w:rPr>
          <w:rFonts w:ascii="Arial" w:hAnsi="Arial" w:cs="Arial"/>
          <w:i/>
          <w:sz w:val="20"/>
          <w:szCs w:val="20"/>
        </w:rPr>
        <w:t>ấ</w:t>
      </w:r>
      <w:r w:rsidRPr="003E1B65">
        <w:rPr>
          <w:rFonts w:ascii="Arial" w:hAnsi="Arial" w:cs="Arial"/>
          <w:i/>
          <w:sz w:val="20"/>
          <w:szCs w:val="20"/>
        </w:rPr>
        <w:t xml:space="preserve">p nước ngoài không có cơ sở thường trú tại Việt Nam cung cấp cho tổ chức, cá nhân tại Việt Nam qua kênh thương mại điện tử và các nền tảng số".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quy định nêu trên, từ ngày 1/7/2025, tổ chức nước ngoài không có cơ sở thường trú tại Việt Nam cung cấp dịch vụ, có doanh thu phát sinh tại Việt Nam thì thuộc đối tượng chịu thuế giá trị gia tăng với thuế suất thuế GTGT 10%. </w:t>
      </w:r>
    </w:p>
    <w:p w:rsidR="00CF22E8" w:rsidRPr="003E1B65" w:rsidRDefault="00CF22E8" w:rsidP="00CF22E8">
      <w:pPr>
        <w:pStyle w:val="Vnbnnidung0"/>
        <w:spacing w:after="120"/>
        <w:ind w:firstLine="720"/>
        <w:jc w:val="both"/>
        <w:rPr>
          <w:rFonts w:ascii="Arial" w:hAnsi="Arial" w:cs="Arial"/>
          <w:b/>
          <w:i/>
          <w:sz w:val="20"/>
          <w:szCs w:val="20"/>
        </w:rPr>
      </w:pPr>
      <w:r w:rsidRPr="003E1B65">
        <w:rPr>
          <w:rFonts w:ascii="Arial" w:hAnsi="Arial" w:cs="Arial"/>
          <w:b/>
          <w:i/>
          <w:sz w:val="20"/>
          <w:szCs w:val="20"/>
        </w:rPr>
        <w:t xml:space="preserve">2.3. Quy định tại Luật Thuế TNDN có hiệu lực thi hành từ 1/10/2025, áp dụng từ kỳ tính thuế năm 2025: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Căn cứ điểm b3 khoản 1 Điều 2 Nghị định 320/2025/NĐ-CP ngày 15/12/2025 của Chính phủ quy định chi tiết một số điều và biện pháp để tổ chức, hướng dẫn thi hành Luật Thuế thu nhập doanh nghiệp:</w:t>
      </w:r>
      <w:bookmarkStart w:id="0" w:name="_GoBack"/>
      <w:bookmarkEnd w:id="0"/>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 xml:space="preserve">"1. Người nộp thuế theo quy định tại khoản 1 Điều 2 Luật Thuế thu nhập doanh nghiệp (sau đây gọi là doanh nghiệp) bao gồm: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i/>
          <w:sz w:val="20"/>
          <w:szCs w:val="20"/>
        </w:rPr>
        <w:t>b3) Doanh nghiệp nước ngoài không có cơ sở thường tr</w:t>
      </w:r>
      <w:r w:rsidRPr="003E1B65">
        <w:rPr>
          <w:rFonts w:ascii="Arial" w:hAnsi="Arial" w:cs="Arial"/>
          <w:i/>
          <w:sz w:val="20"/>
          <w:szCs w:val="20"/>
        </w:rPr>
        <w:t>ú</w:t>
      </w:r>
      <w:r w:rsidRPr="003E1B65">
        <w:rPr>
          <w:rFonts w:ascii="Arial" w:hAnsi="Arial" w:cs="Arial"/>
          <w:i/>
          <w:sz w:val="20"/>
          <w:szCs w:val="20"/>
        </w:rPr>
        <w:t xml:space="preserve"> tại Việt Nam, nộp thu</w:t>
      </w:r>
      <w:r w:rsidRPr="003E1B65">
        <w:rPr>
          <w:rFonts w:ascii="Arial" w:hAnsi="Arial" w:cs="Arial"/>
          <w:i/>
          <w:sz w:val="20"/>
          <w:szCs w:val="20"/>
        </w:rPr>
        <w:t>ế</w:t>
      </w:r>
      <w:r w:rsidRPr="003E1B65">
        <w:rPr>
          <w:rFonts w:ascii="Arial" w:hAnsi="Arial" w:cs="Arial"/>
          <w:i/>
          <w:sz w:val="20"/>
          <w:szCs w:val="20"/>
        </w:rPr>
        <w:t xml:space="preserve"> đối với thu nhập chịu thuế phát sinh tại Việt Nam:"</w:t>
      </w:r>
      <w:r w:rsidRPr="003E1B65">
        <w:rPr>
          <w:rFonts w:ascii="Arial" w:hAnsi="Arial" w:cs="Arial"/>
          <w:i/>
          <w:sz w:val="20"/>
          <w:szCs w:val="20"/>
        </w:rPr>
        <w:t xml:space="preserve">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khoản 3 Điều 12 Nghị định 320/2025/NĐ-CP quy định về phương pháp tính thuế: </w:t>
      </w:r>
    </w:p>
    <w:p w:rsidR="00CF22E8" w:rsidRPr="003E1B65" w:rsidRDefault="00CF22E8" w:rsidP="00CF22E8">
      <w:pPr>
        <w:pStyle w:val="Vnbnnidung0"/>
        <w:spacing w:after="120"/>
        <w:ind w:firstLine="720"/>
        <w:jc w:val="both"/>
        <w:rPr>
          <w:rFonts w:ascii="Arial" w:hAnsi="Arial" w:cs="Arial"/>
          <w:i/>
          <w:sz w:val="20"/>
          <w:szCs w:val="20"/>
        </w:rPr>
      </w:pPr>
      <w:r w:rsidRPr="003E1B65">
        <w:rPr>
          <w:rFonts w:ascii="Arial" w:hAnsi="Arial" w:cs="Arial"/>
          <w:i/>
          <w:sz w:val="20"/>
          <w:szCs w:val="20"/>
        </w:rPr>
        <w:t>"3. Số thuế thu nhập doanh nghiệp phải nộp đ</w:t>
      </w:r>
      <w:r w:rsidR="003E1B65" w:rsidRPr="003E1B65">
        <w:rPr>
          <w:rFonts w:ascii="Arial" w:hAnsi="Arial" w:cs="Arial"/>
          <w:i/>
          <w:sz w:val="20"/>
          <w:szCs w:val="20"/>
        </w:rPr>
        <w:t>ố</w:t>
      </w:r>
      <w:r w:rsidRPr="003E1B65">
        <w:rPr>
          <w:rFonts w:ascii="Arial" w:hAnsi="Arial" w:cs="Arial"/>
          <w:i/>
          <w:sz w:val="20"/>
          <w:szCs w:val="20"/>
        </w:rPr>
        <w:t>i với doanh nghiệp nước ngoài quy định tại các điểm b2, b3 và b4 khoản 1 Điều 2 của Nghị định này được t</w:t>
      </w:r>
      <w:r w:rsidR="003E1B65" w:rsidRPr="003E1B65">
        <w:rPr>
          <w:rFonts w:ascii="Arial" w:hAnsi="Arial" w:cs="Arial"/>
          <w:i/>
          <w:sz w:val="20"/>
          <w:szCs w:val="20"/>
        </w:rPr>
        <w:t>í</w:t>
      </w:r>
      <w:r w:rsidRPr="003E1B65">
        <w:rPr>
          <w:rFonts w:ascii="Arial" w:hAnsi="Arial" w:cs="Arial"/>
          <w:i/>
          <w:sz w:val="20"/>
          <w:szCs w:val="20"/>
        </w:rPr>
        <w:t>nh theo tỷ lệ % trên doanh thu tính thuế phát sinh tại Việt Nam, cụ th</w:t>
      </w:r>
      <w:r w:rsidR="003E1B65" w:rsidRPr="003E1B65">
        <w:rPr>
          <w:rFonts w:ascii="Arial" w:hAnsi="Arial" w:cs="Arial"/>
          <w:i/>
          <w:sz w:val="20"/>
          <w:szCs w:val="20"/>
        </w:rPr>
        <w:t>ể</w:t>
      </w:r>
      <w:r w:rsidRPr="003E1B65">
        <w:rPr>
          <w:rFonts w:ascii="Arial" w:hAnsi="Arial" w:cs="Arial"/>
          <w:i/>
          <w:sz w:val="20"/>
          <w:szCs w:val="20"/>
        </w:rPr>
        <w:t xml:space="preserve"> như sau: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i/>
          <w:sz w:val="20"/>
          <w:szCs w:val="20"/>
        </w:rPr>
        <w:t>a) Dịch vụ: 5%, riêng dịch vụ quản lý nhà hàng, khách sạn, casino: 10%; trường hợp cung ứng dịch vụ có gắn với hàng hóa thì hàng hóa được tính theo tỷ lệ 1%; trường hợp không tách riêng được giá trị hàng hoá với giá trị dịch vụ: 2%":</w:t>
      </w:r>
      <w:r w:rsidRPr="003E1B65">
        <w:rPr>
          <w:rFonts w:ascii="Arial" w:hAnsi="Arial" w:cs="Arial"/>
          <w:sz w:val="20"/>
          <w:szCs w:val="20"/>
        </w:rPr>
        <w:t xml:space="preserve"> </w:t>
      </w:r>
    </w:p>
    <w:p w:rsidR="00CF22E8"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 xml:space="preserve">Căn cứ quy định nêu trên, từ ngày 1/10/2025, trường hợp Apple phát sinh thu nhập tại Việt Nam thì nộp thuế TNDN tính theo tỷ lệ 5% trên doanh thu tính thuế phát sinh tại Việt Nam từ kỳ tính thuế 2025. </w:t>
      </w:r>
    </w:p>
    <w:p w:rsidR="00285579" w:rsidRPr="003E1B65" w:rsidRDefault="00CF22E8" w:rsidP="00CF22E8">
      <w:pPr>
        <w:pStyle w:val="Vnbnnidung0"/>
        <w:spacing w:after="120"/>
        <w:ind w:firstLine="720"/>
        <w:jc w:val="both"/>
        <w:rPr>
          <w:rFonts w:ascii="Arial" w:hAnsi="Arial" w:cs="Arial"/>
          <w:sz w:val="20"/>
          <w:szCs w:val="20"/>
        </w:rPr>
      </w:pPr>
      <w:r w:rsidRPr="003E1B65">
        <w:rPr>
          <w:rFonts w:ascii="Arial" w:hAnsi="Arial" w:cs="Arial"/>
          <w:sz w:val="20"/>
          <w:szCs w:val="20"/>
        </w:rPr>
        <w:t>Cục Thuế thông báo để Công ty được biết. Đề nghị Công ty VSTV và Apple liên hệ với cơ quan quản lý thuế trực tiếp để được hướng dẫn thực hiện./.</w:t>
      </w:r>
    </w:p>
    <w:p w:rsidR="00CF22E8" w:rsidRPr="003E1B65" w:rsidRDefault="00CF22E8" w:rsidP="00531594">
      <w:pPr>
        <w:pStyle w:val="Vnbnnidung0"/>
        <w:spacing w:after="0"/>
        <w:ind w:firstLine="0"/>
        <w:jc w:val="center"/>
        <w:rPr>
          <w:rFonts w:ascii="Arial" w:hAnsi="Arial" w:cs="Arial"/>
          <w:sz w:val="20"/>
          <w:szCs w:val="20"/>
        </w:rPr>
      </w:pPr>
    </w:p>
    <w:tbl>
      <w:tblPr>
        <w:tblW w:w="5000" w:type="pct"/>
        <w:tblInd w:w="10" w:type="dxa"/>
        <w:tblCellMar>
          <w:left w:w="10" w:type="dxa"/>
          <w:right w:w="10" w:type="dxa"/>
        </w:tblCellMar>
        <w:tblLook w:val="07E0" w:firstRow="1" w:lastRow="1" w:firstColumn="1" w:lastColumn="1" w:noHBand="1" w:noVBand="1"/>
      </w:tblPr>
      <w:tblGrid>
        <w:gridCol w:w="4220"/>
        <w:gridCol w:w="4800"/>
      </w:tblGrid>
      <w:tr w:rsidR="007077BE" w:rsidRPr="003E1B65" w:rsidTr="005A1E06">
        <w:trPr>
          <w:trHeight w:val="60"/>
        </w:trPr>
        <w:tc>
          <w:tcPr>
            <w:tcW w:w="4220" w:type="dxa"/>
          </w:tcPr>
          <w:p w:rsidR="007077BE" w:rsidRPr="003E1B65" w:rsidRDefault="007077BE" w:rsidP="007077BE">
            <w:pPr>
              <w:rPr>
                <w:rFonts w:ascii="Arial" w:hAnsi="Arial" w:cs="Arial"/>
                <w:sz w:val="20"/>
                <w:szCs w:val="20"/>
              </w:rPr>
            </w:pPr>
            <w:r w:rsidRPr="003E1B65">
              <w:rPr>
                <w:rFonts w:ascii="Arial" w:hAnsi="Arial" w:cs="Arial"/>
                <w:b/>
                <w:i/>
                <w:sz w:val="20"/>
                <w:szCs w:val="20"/>
              </w:rPr>
              <w:t>Nơi nhận:</w:t>
            </w:r>
          </w:p>
          <w:p w:rsidR="003D1E92" w:rsidRPr="003E1B65" w:rsidRDefault="003D1E92" w:rsidP="007077BE">
            <w:pPr>
              <w:pStyle w:val="Vnbnnidung30"/>
              <w:tabs>
                <w:tab w:val="left" w:pos="258"/>
              </w:tabs>
              <w:rPr>
                <w:rFonts w:ascii="Arial" w:hAnsi="Arial" w:cs="Arial"/>
                <w:sz w:val="20"/>
                <w:szCs w:val="20"/>
              </w:rPr>
            </w:pPr>
            <w:r w:rsidRPr="003E1B65">
              <w:rPr>
                <w:rFonts w:ascii="Arial" w:hAnsi="Arial" w:cs="Arial"/>
                <w:sz w:val="20"/>
                <w:szCs w:val="20"/>
              </w:rPr>
              <w:t>- Như trên;</w:t>
            </w:r>
          </w:p>
          <w:p w:rsidR="00A113E6" w:rsidRPr="003E1B65" w:rsidRDefault="00A113E6" w:rsidP="005A1E06">
            <w:pPr>
              <w:pStyle w:val="Vnbnnidung30"/>
              <w:tabs>
                <w:tab w:val="left" w:pos="258"/>
              </w:tabs>
              <w:rPr>
                <w:rFonts w:ascii="Arial" w:hAnsi="Arial" w:cs="Arial"/>
                <w:sz w:val="20"/>
                <w:szCs w:val="20"/>
              </w:rPr>
            </w:pPr>
            <w:r w:rsidRPr="003E1B65">
              <w:rPr>
                <w:rFonts w:ascii="Arial" w:hAnsi="Arial" w:cs="Arial"/>
                <w:sz w:val="20"/>
                <w:szCs w:val="20"/>
              </w:rPr>
              <w:t xml:space="preserve">- Phó CTr Đặng Ngọc Minh (để b/c); </w:t>
            </w:r>
          </w:p>
          <w:p w:rsidR="00CF22E8" w:rsidRPr="003E1B65" w:rsidRDefault="00CF22E8" w:rsidP="00285579">
            <w:pPr>
              <w:pStyle w:val="Vnbnnidung30"/>
              <w:tabs>
                <w:tab w:val="left" w:pos="258"/>
              </w:tabs>
              <w:rPr>
                <w:rFonts w:ascii="Arial" w:hAnsi="Arial" w:cs="Arial"/>
                <w:sz w:val="20"/>
                <w:szCs w:val="20"/>
              </w:rPr>
            </w:pPr>
            <w:r w:rsidRPr="003E1B65">
              <w:rPr>
                <w:rFonts w:ascii="Arial" w:hAnsi="Arial" w:cs="Arial"/>
                <w:sz w:val="20"/>
                <w:szCs w:val="20"/>
              </w:rPr>
              <w:t xml:space="preserve">- Thuế TP. Hà Nội; </w:t>
            </w:r>
          </w:p>
          <w:p w:rsidR="00CF22E8" w:rsidRPr="003E1B65" w:rsidRDefault="00CF22E8" w:rsidP="00285579">
            <w:pPr>
              <w:pStyle w:val="Vnbnnidung30"/>
              <w:tabs>
                <w:tab w:val="left" w:pos="258"/>
              </w:tabs>
              <w:rPr>
                <w:rFonts w:ascii="Arial" w:hAnsi="Arial" w:cs="Arial"/>
                <w:sz w:val="20"/>
                <w:szCs w:val="20"/>
              </w:rPr>
            </w:pPr>
            <w:r w:rsidRPr="003E1B65">
              <w:rPr>
                <w:rFonts w:ascii="Arial" w:hAnsi="Arial" w:cs="Arial"/>
                <w:sz w:val="20"/>
                <w:szCs w:val="20"/>
              </w:rPr>
              <w:t xml:space="preserve">- Các đơn vị: TMĐT, DNL, PC; </w:t>
            </w:r>
          </w:p>
          <w:p w:rsidR="00CF22E8" w:rsidRPr="003E1B65" w:rsidRDefault="00CF22E8" w:rsidP="00285579">
            <w:pPr>
              <w:pStyle w:val="Vnbnnidung30"/>
              <w:tabs>
                <w:tab w:val="left" w:pos="258"/>
              </w:tabs>
              <w:rPr>
                <w:rFonts w:ascii="Arial" w:hAnsi="Arial" w:cs="Arial"/>
                <w:sz w:val="20"/>
                <w:szCs w:val="20"/>
              </w:rPr>
            </w:pPr>
            <w:r w:rsidRPr="003E1B65">
              <w:rPr>
                <w:rFonts w:ascii="Arial" w:hAnsi="Arial" w:cs="Arial"/>
                <w:sz w:val="20"/>
                <w:szCs w:val="20"/>
              </w:rPr>
              <w:t>- Website СТ;</w:t>
            </w:r>
          </w:p>
          <w:p w:rsidR="007077BE" w:rsidRPr="003E1B65" w:rsidRDefault="00CF22E8" w:rsidP="00285579">
            <w:pPr>
              <w:pStyle w:val="Vnbnnidung30"/>
              <w:tabs>
                <w:tab w:val="left" w:pos="258"/>
              </w:tabs>
              <w:rPr>
                <w:rFonts w:ascii="Arial" w:hAnsi="Arial" w:cs="Arial"/>
                <w:sz w:val="20"/>
                <w:szCs w:val="20"/>
              </w:rPr>
            </w:pPr>
            <w:r w:rsidRPr="003E1B65">
              <w:rPr>
                <w:rFonts w:ascii="Arial" w:hAnsi="Arial" w:cs="Arial"/>
                <w:sz w:val="20"/>
                <w:szCs w:val="20"/>
              </w:rPr>
              <w:t>- Lưu: VT, CS (</w:t>
            </w:r>
            <w:r w:rsidRPr="003E1B65">
              <w:rPr>
                <w:rFonts w:ascii="Arial" w:hAnsi="Arial" w:cs="Arial"/>
                <w:sz w:val="20"/>
                <w:szCs w:val="20"/>
                <w:lang w:val="en-US"/>
              </w:rPr>
              <w:t>5</w:t>
            </w:r>
            <w:r w:rsidRPr="003E1B65">
              <w:rPr>
                <w:rFonts w:ascii="Arial" w:hAnsi="Arial" w:cs="Arial"/>
                <w:sz w:val="20"/>
                <w:szCs w:val="20"/>
              </w:rPr>
              <w:t>b).</w:t>
            </w:r>
          </w:p>
        </w:tc>
        <w:tc>
          <w:tcPr>
            <w:tcW w:w="4800" w:type="dxa"/>
          </w:tcPr>
          <w:p w:rsidR="007077BE" w:rsidRPr="003E1B65" w:rsidRDefault="005A1E06" w:rsidP="00C373BC">
            <w:pPr>
              <w:jc w:val="center"/>
              <w:rPr>
                <w:rFonts w:ascii="Arial" w:hAnsi="Arial" w:cs="Arial"/>
                <w:b/>
                <w:sz w:val="20"/>
                <w:szCs w:val="20"/>
              </w:rPr>
            </w:pPr>
            <w:r w:rsidRPr="003E1B65">
              <w:rPr>
                <w:rFonts w:ascii="Arial" w:hAnsi="Arial" w:cs="Arial"/>
                <w:b/>
                <w:sz w:val="20"/>
                <w:szCs w:val="20"/>
              </w:rPr>
              <w:t>TL</w:t>
            </w:r>
            <w:r w:rsidR="007077BE" w:rsidRPr="003E1B65">
              <w:rPr>
                <w:rFonts w:ascii="Arial" w:hAnsi="Arial" w:cs="Arial"/>
                <w:b/>
                <w:sz w:val="20"/>
                <w:szCs w:val="20"/>
              </w:rPr>
              <w:t xml:space="preserve">. </w:t>
            </w:r>
            <w:r w:rsidR="004C5085" w:rsidRPr="003E1B65">
              <w:rPr>
                <w:rFonts w:ascii="Arial" w:hAnsi="Arial" w:cs="Arial"/>
                <w:b/>
                <w:sz w:val="20"/>
                <w:szCs w:val="20"/>
              </w:rPr>
              <w:t>CỤC TRƯỞNG</w:t>
            </w:r>
            <w:r w:rsidR="007077BE" w:rsidRPr="003E1B65">
              <w:rPr>
                <w:rFonts w:ascii="Arial" w:hAnsi="Arial" w:cs="Arial"/>
                <w:b/>
                <w:sz w:val="20"/>
                <w:szCs w:val="20"/>
              </w:rPr>
              <w:t xml:space="preserve"> </w:t>
            </w:r>
          </w:p>
          <w:p w:rsidR="00285579" w:rsidRPr="003E1B65" w:rsidRDefault="005A1E06" w:rsidP="00CD151F">
            <w:pPr>
              <w:jc w:val="center"/>
              <w:rPr>
                <w:rFonts w:ascii="Arial" w:hAnsi="Arial" w:cs="Arial"/>
                <w:b/>
                <w:sz w:val="20"/>
                <w:szCs w:val="20"/>
                <w:lang w:val="en-US"/>
              </w:rPr>
            </w:pPr>
            <w:r w:rsidRPr="003E1B65">
              <w:rPr>
                <w:rFonts w:ascii="Arial" w:hAnsi="Arial" w:cs="Arial"/>
                <w:b/>
                <w:sz w:val="20"/>
                <w:szCs w:val="20"/>
              </w:rPr>
              <w:t xml:space="preserve">TRƯỞNG </w:t>
            </w:r>
            <w:r w:rsidR="00CF22E8" w:rsidRPr="003E1B65">
              <w:rPr>
                <w:rFonts w:ascii="Arial" w:hAnsi="Arial" w:cs="Arial"/>
                <w:b/>
                <w:sz w:val="20"/>
                <w:szCs w:val="20"/>
                <w:lang w:val="en-US"/>
              </w:rPr>
              <w:t xml:space="preserve">BAN </w:t>
            </w:r>
            <w:r w:rsidRPr="003E1B65">
              <w:rPr>
                <w:rFonts w:ascii="Arial" w:hAnsi="Arial" w:cs="Arial"/>
                <w:b/>
                <w:sz w:val="20"/>
                <w:szCs w:val="20"/>
              </w:rPr>
              <w:t>BAN CHÍNH SÁCH</w:t>
            </w:r>
            <w:r w:rsidR="00CF22E8" w:rsidRPr="003E1B65">
              <w:rPr>
                <w:rFonts w:ascii="Arial" w:hAnsi="Arial" w:cs="Arial"/>
                <w:b/>
                <w:sz w:val="20"/>
                <w:szCs w:val="20"/>
                <w:lang w:val="en-US"/>
              </w:rPr>
              <w:t>,</w:t>
            </w:r>
          </w:p>
          <w:p w:rsidR="005A1E06" w:rsidRPr="003E1B65" w:rsidRDefault="005A1E06" w:rsidP="00CD151F">
            <w:pPr>
              <w:jc w:val="center"/>
              <w:rPr>
                <w:rFonts w:ascii="Arial" w:hAnsi="Arial" w:cs="Arial"/>
                <w:b/>
                <w:sz w:val="20"/>
                <w:szCs w:val="20"/>
              </w:rPr>
            </w:pPr>
            <w:r w:rsidRPr="003E1B65">
              <w:rPr>
                <w:rFonts w:ascii="Arial" w:hAnsi="Arial" w:cs="Arial"/>
                <w:b/>
                <w:sz w:val="20"/>
                <w:szCs w:val="20"/>
              </w:rPr>
              <w:t xml:space="preserve">THUẾ QUỐC TẾ </w:t>
            </w:r>
          </w:p>
          <w:p w:rsidR="00CD151F" w:rsidRPr="003E1B65" w:rsidRDefault="007077BE" w:rsidP="00CD151F">
            <w:pPr>
              <w:jc w:val="center"/>
              <w:rPr>
                <w:rFonts w:ascii="Arial" w:hAnsi="Arial" w:cs="Arial"/>
                <w:sz w:val="20"/>
                <w:szCs w:val="20"/>
              </w:rPr>
            </w:pPr>
            <w:r w:rsidRPr="003E1B65">
              <w:rPr>
                <w:rFonts w:ascii="Arial" w:hAnsi="Arial" w:cs="Arial"/>
                <w:sz w:val="20"/>
                <w:szCs w:val="20"/>
              </w:rPr>
              <w:br/>
            </w:r>
            <w:r w:rsidRPr="003E1B65">
              <w:rPr>
                <w:rFonts w:ascii="Arial" w:hAnsi="Arial" w:cs="Arial"/>
                <w:sz w:val="20"/>
                <w:szCs w:val="20"/>
              </w:rPr>
              <w:br/>
            </w:r>
          </w:p>
          <w:p w:rsidR="007D5A86" w:rsidRPr="003E1B65" w:rsidRDefault="007D5A86" w:rsidP="00CD151F">
            <w:pPr>
              <w:jc w:val="center"/>
              <w:rPr>
                <w:rFonts w:ascii="Arial" w:hAnsi="Arial" w:cs="Arial"/>
                <w:sz w:val="20"/>
                <w:szCs w:val="20"/>
              </w:rPr>
            </w:pPr>
          </w:p>
          <w:p w:rsidR="007D5A86" w:rsidRPr="003E1B65" w:rsidRDefault="007D5A86" w:rsidP="00CD151F">
            <w:pPr>
              <w:jc w:val="center"/>
              <w:rPr>
                <w:rFonts w:ascii="Arial" w:hAnsi="Arial" w:cs="Arial"/>
                <w:sz w:val="20"/>
                <w:szCs w:val="20"/>
              </w:rPr>
            </w:pPr>
          </w:p>
          <w:p w:rsidR="007D5A86" w:rsidRPr="003E1B65" w:rsidRDefault="00A113E6" w:rsidP="00CD151F">
            <w:pPr>
              <w:jc w:val="center"/>
              <w:rPr>
                <w:rFonts w:ascii="Arial" w:hAnsi="Arial" w:cs="Arial"/>
                <w:b/>
                <w:sz w:val="20"/>
                <w:szCs w:val="20"/>
              </w:rPr>
            </w:pPr>
            <w:r w:rsidRPr="003E1B65">
              <w:rPr>
                <w:rFonts w:ascii="Arial" w:hAnsi="Arial" w:cs="Arial"/>
                <w:b/>
                <w:sz w:val="20"/>
                <w:szCs w:val="20"/>
              </w:rPr>
              <w:t>Nguyễn Thị Thanh Hằng</w:t>
            </w:r>
          </w:p>
        </w:tc>
      </w:tr>
    </w:tbl>
    <w:p w:rsidR="00531594" w:rsidRPr="003E1B65" w:rsidRDefault="00531594" w:rsidP="00060744">
      <w:pPr>
        <w:tabs>
          <w:tab w:val="left" w:pos="5779"/>
        </w:tabs>
        <w:rPr>
          <w:rFonts w:ascii="Arial" w:hAnsi="Arial" w:cs="Arial"/>
          <w:sz w:val="20"/>
          <w:szCs w:val="20"/>
        </w:rPr>
      </w:pPr>
    </w:p>
    <w:sectPr w:rsidR="00531594" w:rsidRPr="003E1B65" w:rsidSect="004F458C">
      <w:headerReference w:type="even" r:id="rId7"/>
      <w:headerReference w:type="default" r:id="rId8"/>
      <w:footerReference w:type="even" r:id="rId9"/>
      <w:footerReference w:type="default" r:id="rId10"/>
      <w:headerReference w:type="first" r:id="rId11"/>
      <w:footerReference w:type="first" r:id="rId12"/>
      <w:type w:val="continuous"/>
      <w:pgSz w:w="11900" w:h="16840" w:code="9"/>
      <w:pgMar w:top="1440" w:right="1440" w:bottom="1440" w:left="1440"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963" w:rsidRDefault="00A66963">
      <w:r>
        <w:separator/>
      </w:r>
    </w:p>
  </w:endnote>
  <w:endnote w:type="continuationSeparator" w:id="0">
    <w:p w:rsidR="00A66963" w:rsidRDefault="00A66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A73" w:rsidRDefault="00920A7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A73" w:rsidRDefault="00920A73">
    <w:pPr>
      <w:pStyle w:val="Footer"/>
    </w:pPr>
    <w:r w:rsidRPr="001256AD">
      <w:rPr>
        <w:noProof/>
        <w:lang w:val="en-US" w:eastAsia="en-US" w:bidi="ar-SA"/>
      </w:rPr>
      <w:drawing>
        <wp:inline distT="0" distB="0" distL="0" distR="0" wp14:anchorId="75B36E74" wp14:editId="7FA156FE">
          <wp:extent cx="5727700" cy="57277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57277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A73" w:rsidRDefault="00920A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963" w:rsidRDefault="00A66963"/>
  </w:footnote>
  <w:footnote w:type="continuationSeparator" w:id="0">
    <w:p w:rsidR="00A66963" w:rsidRDefault="00A6696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A73" w:rsidRDefault="00920A7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3FC" w:rsidRDefault="008A53FC">
    <w:pPr>
      <w:spacing w:line="1" w:lineRule="exac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A73" w:rsidRDefault="00920A7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1C84"/>
    <w:multiLevelType w:val="multilevel"/>
    <w:tmpl w:val="7A56A9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907C57"/>
    <w:multiLevelType w:val="multilevel"/>
    <w:tmpl w:val="E76C9A0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173753"/>
    <w:multiLevelType w:val="multilevel"/>
    <w:tmpl w:val="6DC247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0107838"/>
    <w:multiLevelType w:val="multilevel"/>
    <w:tmpl w:val="8BAA98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98151B"/>
    <w:multiLevelType w:val="multilevel"/>
    <w:tmpl w:val="C87258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BD1738"/>
    <w:multiLevelType w:val="multilevel"/>
    <w:tmpl w:val="CD0E42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6921B79"/>
    <w:multiLevelType w:val="multilevel"/>
    <w:tmpl w:val="629C96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AC25B2"/>
    <w:multiLevelType w:val="multilevel"/>
    <w:tmpl w:val="C2A850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F7B5D5F"/>
    <w:multiLevelType w:val="multilevel"/>
    <w:tmpl w:val="835032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E22437"/>
    <w:multiLevelType w:val="multilevel"/>
    <w:tmpl w:val="2C4228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55E7497"/>
    <w:multiLevelType w:val="multilevel"/>
    <w:tmpl w:val="3468F4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0686549"/>
    <w:multiLevelType w:val="multilevel"/>
    <w:tmpl w:val="BE88DB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5CD634E"/>
    <w:multiLevelType w:val="multilevel"/>
    <w:tmpl w:val="D82A73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CC4005"/>
    <w:multiLevelType w:val="multilevel"/>
    <w:tmpl w:val="8A7E9A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CE6349F"/>
    <w:multiLevelType w:val="multilevel"/>
    <w:tmpl w:val="DBBC74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DF00BFB"/>
    <w:multiLevelType w:val="multilevel"/>
    <w:tmpl w:val="8C5C4C5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28724F5"/>
    <w:multiLevelType w:val="multilevel"/>
    <w:tmpl w:val="0338D6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2A17DE4"/>
    <w:multiLevelType w:val="multilevel"/>
    <w:tmpl w:val="ADA292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6726DED"/>
    <w:multiLevelType w:val="multilevel"/>
    <w:tmpl w:val="EE641F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6870B1F"/>
    <w:multiLevelType w:val="multilevel"/>
    <w:tmpl w:val="C1BAB3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2F14CA3"/>
    <w:multiLevelType w:val="multilevel"/>
    <w:tmpl w:val="BBE4AC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7"/>
  </w:num>
  <w:num w:numId="3">
    <w:abstractNumId w:val="13"/>
  </w:num>
  <w:num w:numId="4">
    <w:abstractNumId w:val="19"/>
  </w:num>
  <w:num w:numId="5">
    <w:abstractNumId w:val="15"/>
  </w:num>
  <w:num w:numId="6">
    <w:abstractNumId w:val="16"/>
  </w:num>
  <w:num w:numId="7">
    <w:abstractNumId w:val="1"/>
  </w:num>
  <w:num w:numId="8">
    <w:abstractNumId w:val="18"/>
  </w:num>
  <w:num w:numId="9">
    <w:abstractNumId w:val="12"/>
  </w:num>
  <w:num w:numId="10">
    <w:abstractNumId w:val="20"/>
  </w:num>
  <w:num w:numId="11">
    <w:abstractNumId w:val="4"/>
  </w:num>
  <w:num w:numId="12">
    <w:abstractNumId w:val="14"/>
  </w:num>
  <w:num w:numId="13">
    <w:abstractNumId w:val="0"/>
  </w:num>
  <w:num w:numId="14">
    <w:abstractNumId w:val="5"/>
  </w:num>
  <w:num w:numId="15">
    <w:abstractNumId w:val="10"/>
  </w:num>
  <w:num w:numId="16">
    <w:abstractNumId w:val="17"/>
  </w:num>
  <w:num w:numId="17">
    <w:abstractNumId w:val="9"/>
  </w:num>
  <w:num w:numId="18">
    <w:abstractNumId w:val="8"/>
  </w:num>
  <w:num w:numId="19">
    <w:abstractNumId w:val="2"/>
  </w:num>
  <w:num w:numId="20">
    <w:abstractNumId w:val="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20"/>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63C"/>
    <w:rsid w:val="00060744"/>
    <w:rsid w:val="00063327"/>
    <w:rsid w:val="000B2198"/>
    <w:rsid w:val="000C5CCE"/>
    <w:rsid w:val="000E1395"/>
    <w:rsid w:val="0010546C"/>
    <w:rsid w:val="00126C70"/>
    <w:rsid w:val="001637DB"/>
    <w:rsid w:val="0017405F"/>
    <w:rsid w:val="001E2F42"/>
    <w:rsid w:val="0025129F"/>
    <w:rsid w:val="00260B36"/>
    <w:rsid w:val="0026498A"/>
    <w:rsid w:val="00285579"/>
    <w:rsid w:val="002F32FB"/>
    <w:rsid w:val="002F58D7"/>
    <w:rsid w:val="003672AE"/>
    <w:rsid w:val="003D1E92"/>
    <w:rsid w:val="003E1B65"/>
    <w:rsid w:val="00451590"/>
    <w:rsid w:val="00454A17"/>
    <w:rsid w:val="004B10FE"/>
    <w:rsid w:val="004C5085"/>
    <w:rsid w:val="004D063C"/>
    <w:rsid w:val="004F458C"/>
    <w:rsid w:val="004F5D1F"/>
    <w:rsid w:val="00521CD4"/>
    <w:rsid w:val="00526E8F"/>
    <w:rsid w:val="00531594"/>
    <w:rsid w:val="005330CE"/>
    <w:rsid w:val="00555A27"/>
    <w:rsid w:val="00556ED5"/>
    <w:rsid w:val="005A1E06"/>
    <w:rsid w:val="00647ECA"/>
    <w:rsid w:val="006C2093"/>
    <w:rsid w:val="007077BE"/>
    <w:rsid w:val="007B5E3F"/>
    <w:rsid w:val="007C0848"/>
    <w:rsid w:val="007D5A86"/>
    <w:rsid w:val="007F274B"/>
    <w:rsid w:val="0080458B"/>
    <w:rsid w:val="008A53FC"/>
    <w:rsid w:val="00901FD6"/>
    <w:rsid w:val="00920A73"/>
    <w:rsid w:val="009C113B"/>
    <w:rsid w:val="009F7584"/>
    <w:rsid w:val="00A113E6"/>
    <w:rsid w:val="00A55A33"/>
    <w:rsid w:val="00A57961"/>
    <w:rsid w:val="00A66963"/>
    <w:rsid w:val="00B11AB7"/>
    <w:rsid w:val="00BE0DEB"/>
    <w:rsid w:val="00C373BC"/>
    <w:rsid w:val="00CD151F"/>
    <w:rsid w:val="00CF22E8"/>
    <w:rsid w:val="00CF5F54"/>
    <w:rsid w:val="00D20AB9"/>
    <w:rsid w:val="00E14C98"/>
    <w:rsid w:val="00E36F2E"/>
    <w:rsid w:val="00F06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E057A0"/>
  <w15:docId w15:val="{34CA63E1-4C3A-4966-85DE-DAC8183B1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3">
    <w:name w:val="Văn bản nội dung (3)_"/>
    <w:basedOn w:val="DefaultParagraphFont"/>
    <w:link w:val="Vnbnnidung3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sz w:val="17"/>
      <w:szCs w:val="17"/>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sz w:val="16"/>
      <w:szCs w:val="16"/>
      <w:u w:val="none"/>
      <w:shd w:val="clear" w:color="auto" w:fill="auto"/>
    </w:rPr>
  </w:style>
  <w:style w:type="paragraph" w:customStyle="1" w:styleId="Vnbnnidung0">
    <w:name w:val="Văn bản nội dung"/>
    <w:basedOn w:val="Normal"/>
    <w:link w:val="Vnbnnidung"/>
    <w:pPr>
      <w:spacing w:after="100"/>
      <w:ind w:firstLine="400"/>
    </w:pPr>
    <w:rPr>
      <w:rFonts w:ascii="Times New Roman" w:eastAsia="Times New Roman" w:hAnsi="Times New Roman" w:cs="Times New Roman"/>
      <w:sz w:val="28"/>
      <w:szCs w:val="28"/>
    </w:rPr>
  </w:style>
  <w:style w:type="paragraph" w:customStyle="1" w:styleId="Chthchnh0">
    <w:name w:val="Chú thích ảnh"/>
    <w:basedOn w:val="Normal"/>
    <w:link w:val="Chthchnh"/>
    <w:pPr>
      <w:jc w:val="center"/>
    </w:pPr>
    <w:rPr>
      <w:rFonts w:ascii="Times New Roman" w:eastAsia="Times New Roman" w:hAnsi="Times New Roman" w:cs="Times New Roman"/>
      <w:b/>
      <w:bCs/>
      <w:sz w:val="28"/>
      <w:szCs w:val="28"/>
    </w:rPr>
  </w:style>
  <w:style w:type="paragraph" w:customStyle="1" w:styleId="Tiu10">
    <w:name w:val="Tiêu đề #1"/>
    <w:basedOn w:val="Normal"/>
    <w:link w:val="Tiu1"/>
    <w:pPr>
      <w:spacing w:after="80" w:line="269" w:lineRule="auto"/>
      <w:ind w:firstLine="720"/>
      <w:outlineLvl w:val="0"/>
    </w:pPr>
    <w:rPr>
      <w:rFonts w:ascii="Times New Roman" w:eastAsia="Times New Roman" w:hAnsi="Times New Roman" w:cs="Times New Roman"/>
      <w:b/>
      <w:bCs/>
      <w:sz w:val="28"/>
      <w:szCs w:val="28"/>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30">
    <w:name w:val="Văn bản nội dung (3)"/>
    <w:basedOn w:val="Normal"/>
    <w:link w:val="Vnbnnidung3"/>
    <w:rPr>
      <w:rFonts w:ascii="Times New Roman" w:eastAsia="Times New Roman" w:hAnsi="Times New Roman" w:cs="Times New Roman"/>
      <w:sz w:val="22"/>
      <w:szCs w:val="22"/>
    </w:rPr>
  </w:style>
  <w:style w:type="paragraph" w:customStyle="1" w:styleId="Vnbnnidung20">
    <w:name w:val="Văn bản nội dung (2)"/>
    <w:basedOn w:val="Normal"/>
    <w:link w:val="Vnbnnidung2"/>
    <w:pPr>
      <w:spacing w:after="80" w:line="264" w:lineRule="auto"/>
      <w:jc w:val="center"/>
    </w:pPr>
    <w:rPr>
      <w:rFonts w:ascii="Times New Roman" w:eastAsia="Times New Roman" w:hAnsi="Times New Roman" w:cs="Times New Roman"/>
      <w:b/>
      <w:bCs/>
      <w:sz w:val="17"/>
      <w:szCs w:val="17"/>
    </w:rPr>
  </w:style>
  <w:style w:type="paragraph" w:customStyle="1" w:styleId="Khc0">
    <w:name w:val="Khác"/>
    <w:basedOn w:val="Normal"/>
    <w:link w:val="Khc"/>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531594"/>
    <w:pPr>
      <w:tabs>
        <w:tab w:val="center" w:pos="4680"/>
        <w:tab w:val="right" w:pos="9360"/>
      </w:tabs>
    </w:pPr>
  </w:style>
  <w:style w:type="character" w:customStyle="1" w:styleId="HeaderChar">
    <w:name w:val="Header Char"/>
    <w:basedOn w:val="DefaultParagraphFont"/>
    <w:link w:val="Header"/>
    <w:uiPriority w:val="99"/>
    <w:rsid w:val="00531594"/>
    <w:rPr>
      <w:color w:val="000000"/>
    </w:rPr>
  </w:style>
  <w:style w:type="paragraph" w:styleId="Footer">
    <w:name w:val="footer"/>
    <w:basedOn w:val="Normal"/>
    <w:link w:val="FooterChar"/>
    <w:uiPriority w:val="99"/>
    <w:unhideWhenUsed/>
    <w:rsid w:val="00531594"/>
    <w:pPr>
      <w:tabs>
        <w:tab w:val="center" w:pos="4680"/>
        <w:tab w:val="right" w:pos="9360"/>
      </w:tabs>
    </w:pPr>
  </w:style>
  <w:style w:type="character" w:customStyle="1" w:styleId="FooterChar">
    <w:name w:val="Footer Char"/>
    <w:basedOn w:val="DefaultParagraphFont"/>
    <w:link w:val="Footer"/>
    <w:uiPriority w:val="99"/>
    <w:rsid w:val="00531594"/>
    <w:rPr>
      <w:color w:val="000000"/>
    </w:rPr>
  </w:style>
  <w:style w:type="paragraph" w:styleId="NoSpacing">
    <w:name w:val="No Spacing"/>
    <w:uiPriority w:val="1"/>
    <w:qFormat/>
    <w:rsid w:val="00555A27"/>
    <w:rPr>
      <w:color w:val="000000"/>
    </w:rPr>
  </w:style>
  <w:style w:type="table" w:styleId="TableGrid">
    <w:name w:val="Table Grid"/>
    <w:basedOn w:val="TableNormal"/>
    <w:uiPriority w:val="39"/>
    <w:rsid w:val="004C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526943">
      <w:bodyDiv w:val="1"/>
      <w:marLeft w:val="0"/>
      <w:marRight w:val="0"/>
      <w:marTop w:val="0"/>
      <w:marBottom w:val="0"/>
      <w:divBdr>
        <w:top w:val="none" w:sz="0" w:space="0" w:color="auto"/>
        <w:left w:val="none" w:sz="0" w:space="0" w:color="auto"/>
        <w:bottom w:val="none" w:sz="0" w:space="0" w:color="auto"/>
        <w:right w:val="none" w:sz="0" w:space="0" w:color="auto"/>
      </w:divBdr>
    </w:div>
    <w:div w:id="1740859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UBND THÀNH PHỐ HÀ NỘI</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HÀ NỘI</dc:title>
  <dc:subject/>
  <dc:creator>thu</dc:creator>
  <cp:keywords/>
  <cp:lastModifiedBy>Admin</cp:lastModifiedBy>
  <cp:revision>2</cp:revision>
  <dcterms:created xsi:type="dcterms:W3CDTF">2026-02-24T02:58:00Z</dcterms:created>
  <dcterms:modified xsi:type="dcterms:W3CDTF">2026-02-24T02:58:00Z</dcterms:modified>
</cp:coreProperties>
</file>